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BDD6EE" tmshd="6553856, 15652541, 16777215"/>
        <w:rPr>
          <w:rFonts w:ascii="Calibri Light" w:hAnsi="Calibri Light"/>
          <w:b/>
          <w:bCs/>
          <w:sz w:val="36"/>
          <w:szCs w:val="36"/>
        </w:rPr>
      </w:pPr>
      <w:r/>
      <w:bookmarkStart w:id="0" w:name="_GoBack"/>
      <w:bookmarkEnd w:id="0"/>
      <w:r/>
      <w:r>
        <w:rPr>
          <w:rFonts w:ascii="Calibri Light" w:hAnsi="Calibri Light"/>
          <w:b/>
          <w:bCs/>
          <w:sz w:val="36"/>
          <w:szCs w:val="36"/>
        </w:rPr>
        <w:t>CAMPUS FLORESTA</w:t>
      </w:r>
      <w:r>
        <w:rPr>
          <w:rFonts w:ascii="Calibri Light" w:hAnsi="Calibri Light"/>
          <w:b/>
          <w:bCs/>
          <w:sz w:val="36"/>
          <w:szCs w:val="36"/>
        </w:rPr>
      </w:r>
    </w:p>
    <w:tbl>
      <w:tblPr>
        <w:tblStyle w:val="TableGrid"/>
        <w:name w:val="Tabela1"/>
        <w:tabOrder w:val="0"/>
        <w:jc w:val="left"/>
        <w:tblInd w:w="0" w:type="dxa"/>
        <w:tblW w:w="13994" w:type="dxa"/>
        <w:tblLook w:val="04A0" w:firstRow="1" w:lastRow="0" w:firstColumn="1" w:lastColumn="0" w:noHBand="0" w:noVBand="1"/>
      </w:tblPr>
      <w:tblGrid>
        <w:gridCol w:w="8075"/>
        <w:gridCol w:w="2410"/>
        <w:gridCol w:w="3509"/>
      </w:tblGrid>
      <w:tr>
        <w:trPr>
          <w:cantSplit w:val="0"/>
          <w:trHeight w:val="0" w:hRule="auto"/>
        </w:trPr>
        <w:tc>
          <w:tcPr>
            <w:tcW w:w="8075" w:type="dxa"/>
            <w:shd w:val="solid" w:color="A8D08D" tmshd="6553856, 9293992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00365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8D08D" tmshd="6553856, 9293992, 16777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TIPO DE POSTO</w:t>
            </w:r>
          </w:p>
        </w:tc>
        <w:tc>
          <w:tcPr>
            <w:tcW w:w="2410" w:type="dxa"/>
            <w:shd w:val="solid" w:color="A8D08D" tmshd="6553856, 9293992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00365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8D08D" tmshd="6553856, 9293992, 16777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NÚMERO DE POSTOS</w:t>
            </w:r>
          </w:p>
        </w:tc>
        <w:tc>
          <w:tcPr>
            <w:tcW w:w="3509" w:type="dxa"/>
            <w:shd w:val="solid" w:color="A8D08D" tmshd="6553856, 9293992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00365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8D08D" tmshd="6553856, 9293992, 16777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QUANTIDADE DE EMPREGADOS</w:t>
            </w:r>
          </w:p>
        </w:tc>
      </w:tr>
      <w:tr>
        <w:trPr>
          <w:cantSplit w:val="0"/>
          <w:trHeight w:val="0" w:hRule="auto"/>
        </w:trPr>
        <w:tc>
          <w:tcPr>
            <w:tcW w:w="8075" w:type="dxa"/>
            <w:shd w:val="solid" w:color="A8D08D" tmshd="6553856, 929399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0365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8D08D" tmshd="6553856, 9293992, 16777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VIGILÂNCIA ARMADA DIURNA MOTORIZADA</w:t>
            </w:r>
          </w:p>
        </w:tc>
        <w:tc>
          <w:tcPr>
            <w:tcW w:w="2410" w:type="dxa"/>
            <w:shd w:val="solid" w:color="A8D08D" tmshd="6553856, 929399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0365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8D08D" tmshd="6553856, 9293992, 16777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509" w:type="dxa"/>
            <w:shd w:val="solid" w:color="A8D08D" tmshd="6553856, 929399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0365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8D08D" tmshd="6553856, 9293992, 16777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>
        <w:trPr>
          <w:cantSplit w:val="0"/>
          <w:trHeight w:val="0" w:hRule="auto"/>
        </w:trPr>
        <w:tc>
          <w:tcPr>
            <w:tcW w:w="8075" w:type="dxa"/>
            <w:shd w:val="solid" w:color="A8D08D" tmshd="6553856, 9293992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00365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8D08D" tmshd="6553856, 9293992, 16777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VIGILÂNCIA ARMADA NOTURNA NÃO MOTORIZADA</w:t>
            </w:r>
          </w:p>
        </w:tc>
        <w:tc>
          <w:tcPr>
            <w:tcW w:w="2410" w:type="dxa"/>
            <w:shd w:val="solid" w:color="A8D08D" tmshd="6553856, 9293992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00365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8D08D" tmshd="6553856, 9293992, 16777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509" w:type="dxa"/>
            <w:shd w:val="solid" w:color="A8D08D" tmshd="6553856, 9293992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00365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8D08D" tmshd="6553856, 9293992, 16777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>
        <w:trPr>
          <w:cantSplit w:val="0"/>
          <w:trHeight w:val="0" w:hRule="auto"/>
        </w:trPr>
        <w:tc>
          <w:tcPr>
            <w:tcW w:w="8075" w:type="dxa"/>
            <w:shd w:val="solid" w:color="A8D08D" tmshd="6553856, 929399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0365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8D08D" tmshd="6553856, 9293992, 16777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VIGILÂNCIA ARMADA NOTURNA MOTORIZADA</w:t>
            </w:r>
          </w:p>
        </w:tc>
        <w:tc>
          <w:tcPr>
            <w:tcW w:w="2410" w:type="dxa"/>
            <w:shd w:val="solid" w:color="A8D08D" tmshd="6553856, 929399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0365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8D08D" tmshd="6553856, 9293992, 16777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509" w:type="dxa"/>
            <w:shd w:val="solid" w:color="A8D08D" tmshd="6553856, 929399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036567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A8D08D" tmshd="6553856, 9293992, 16777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</w:tbl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"/>
        <w:name w:val="Tabela2"/>
        <w:tabOrder w:val="0"/>
        <w:jc w:val="left"/>
        <w:tblInd w:w="0" w:type="dxa"/>
        <w:tblW w:w="13994" w:type="dxa"/>
        <w:tblLook w:val="04A0" w:firstRow="1" w:lastRow="0" w:firstColumn="1" w:lastColumn="0" w:noHBand="0" w:noVBand="1"/>
      </w:tblPr>
      <w:tblGrid>
        <w:gridCol w:w="726"/>
        <w:gridCol w:w="4629"/>
        <w:gridCol w:w="1856"/>
        <w:gridCol w:w="1794"/>
        <w:gridCol w:w="1449"/>
        <w:gridCol w:w="1951"/>
        <w:gridCol w:w="1589"/>
      </w:tblGrid>
      <w:tr>
        <w:trPr>
          <w:cantSplit w:val="0"/>
          <w:trHeight w:val="0" w:hRule="auto"/>
        </w:trPr>
        <w:tc>
          <w:tcPr>
            <w:tcW w:w="13994" w:type="dxa"/>
            <w:gridSpan w:val="7"/>
            <w:shd w:val="solid" w:color="BDD6EE" tmshd="6553856, 15652541, 16777215"/>
            <w:tmTcPr id="1600365677" protected="0"/>
          </w:tcPr>
          <w:p>
            <w:pPr>
              <w: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FARDAMENTO POR POSTO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629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1794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449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1951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QUANTIDADE ANUAL POR POSTO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QUANTIDADE</w:t>
            </w:r>
          </w:p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/>
            <w:r/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</w:r>
          </w:p>
        </w:tc>
        <w:tc>
          <w:tcPr>
            <w:tcW w:w="4629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Bota tipo coturno tipo Militar com as seguintes especificações: FORRAÇÃO: Tecido poliéster, poliamida dublado, forro do colarinho em trama colmeia; PALMILHA CONFORTO confeccionada em poliuretano de alta resistência, conformada, e tecido poliéster para absorção de suor; SOLADO CORVETA Solado de borracha de alto desempenho; Resistência a altas temperaturas até 300º C Blaqueação</w:t>
            </w:r>
            <w:r>
              <w:rPr>
                <w:sz w:val="24"/>
                <w:szCs w:val="24"/>
              </w:rPr>
              <w:t xml:space="preserve"> total;</w:t>
            </w:r>
            <w:r>
              <w:rPr>
                <w:sz w:val="24"/>
                <w:szCs w:val="24"/>
              </w:rPr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</w:p>
        </w:tc>
        <w:tc>
          <w:tcPr>
            <w:tcW w:w="1794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pares por posto a cada 06 meses</w:t>
            </w:r>
          </w:p>
        </w:tc>
        <w:tc>
          <w:tcPr>
            <w:tcW w:w="144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5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9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Boné na cor preta com emblema da empresa com as seguintes especificações: Confeccionado em tecido Rip</w:t>
            </w:r>
            <w:r>
              <w:rPr>
                <w:sz w:val="24"/>
                <w:szCs w:val="24"/>
              </w:rPr>
              <w:t xml:space="preserve"> Stop Profissional; Tamanho único; Velcro na parte de trás que permita a regulagem   da numeração entre 54 e 62; que possua 2 </w:t>
            </w:r>
            <w:r>
              <w:rPr>
                <w:sz w:val="24"/>
                <w:szCs w:val="24"/>
              </w:rPr>
              <w:t>ilhóses</w:t>
            </w:r>
            <w:r>
              <w:rPr>
                <w:sz w:val="24"/>
                <w:szCs w:val="24"/>
              </w:rPr>
              <w:t xml:space="preserve"> em cada lado do boné, para respiro; comprimento da Aba, medido na parte central: 6,5 cm e na Largura da Aba: 17 cm; e que seja extremamente maleável, leve e resistente.</w:t>
            </w:r>
            <w:r>
              <w:rPr>
                <w:sz w:val="24"/>
                <w:szCs w:val="24"/>
              </w:rPr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unidades por posto a cada 06 meses</w:t>
            </w:r>
          </w:p>
        </w:tc>
        <w:tc>
          <w:tcPr>
            <w:tcW w:w="144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5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9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Calça tática na cor preta tipo Rip</w:t>
            </w:r>
            <w:r>
              <w:rPr>
                <w:sz w:val="24"/>
                <w:szCs w:val="24"/>
              </w:rPr>
              <w:t xml:space="preserve"> Stop com as seguintes especificações: Material/tecido: 67% Algodão e 33% Poliéster em </w:t>
            </w:r>
            <w:r>
              <w:rPr>
                <w:sz w:val="24"/>
                <w:szCs w:val="24"/>
              </w:rPr>
              <w:t>Rip</w:t>
            </w:r>
            <w:r>
              <w:rPr>
                <w:sz w:val="24"/>
                <w:szCs w:val="24"/>
              </w:rPr>
              <w:t xml:space="preserve"> Stop; costura dupla; material reforçado; tecido confortável; reforço nos joelhos; fácil de lavar; possui 06 Bolsos, sendo 02 Traseiros, 02 Laterais e 02 Frontais.</w:t>
            </w:r>
            <w:r>
              <w:rPr>
                <w:sz w:val="24"/>
                <w:szCs w:val="24"/>
              </w:rPr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unidades por posto a cada 04 meses</w:t>
            </w:r>
          </w:p>
        </w:tc>
        <w:tc>
          <w:tcPr>
            <w:tcW w:w="144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5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9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Camisa tática na cor preta de manga curta tipo Ripstop com as seguintes especificações: Material/tecido: 67% Algodão e 33% Poliéster em Rip</w:t>
            </w:r>
            <w:r>
              <w:rPr>
                <w:sz w:val="24"/>
                <w:szCs w:val="24"/>
              </w:rPr>
              <w:t xml:space="preserve"> Stop; costura dupla; material reforçado; tecido confortável, fechamento com botão; </w:t>
            </w:r>
            <w:r>
              <w:rPr>
                <w:sz w:val="24"/>
                <w:szCs w:val="24"/>
              </w:rPr>
              <w:t>martingali</w:t>
            </w:r>
            <w:r>
              <w:rPr>
                <w:sz w:val="24"/>
                <w:szCs w:val="24"/>
              </w:rPr>
              <w:t xml:space="preserve"> nos ombros; </w:t>
            </w:r>
            <w:r>
              <w:rPr>
                <w:sz w:val="24"/>
                <w:szCs w:val="24"/>
              </w:rPr>
              <w:t>velcro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acima do bolso direito; dois bolsos frontais superiores com lapela; bolso esquerdo com abertura para entrada de caneta; costa lisa sem recortes para aplicação de bordado ou estampa.</w:t>
            </w:r>
            <w:r>
              <w:rPr>
                <w:sz w:val="24"/>
                <w:szCs w:val="24"/>
              </w:rPr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unidades por posto a cada 04 meses</w:t>
            </w:r>
          </w:p>
        </w:tc>
        <w:tc>
          <w:tcPr>
            <w:tcW w:w="144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5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9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 de chuva com emblema da empresa com as seguintes especificações: Confeccionada em Nylon emborrachado impermeável; Capuz com regulagem através de cordão com travador; possui 10 pares de botões de pressão, sendo cada botão possui um lado macho e outra fêmea; Possui dois bolsos tipo envelope medindo 120 mm x 130 mm, com fechamento através de botões; Sutache para identificação acima do bolso direito; Nos ombros contém duas lapelas medindo 120 mm x 50 mm para fixação de platinas com fechamento através de botões.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unidade por posto a cada 12 meses</w:t>
            </w:r>
          </w:p>
        </w:tc>
        <w:tc>
          <w:tcPr>
            <w:tcW w:w="144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5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9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Cinto de nylon: na cor preta com as seguintes especificações: material do cinto em Nylon; comprimento 125 cm; largura 5.5 cm; material da fivela Polímero; feche de encaixe seguro e rápido; ajustável para qualquer cintura; modelo Padrão N.A.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unidade por posto a cada 06 meses</w:t>
            </w:r>
          </w:p>
        </w:tc>
        <w:tc>
          <w:tcPr>
            <w:tcW w:w="144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5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9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Crachá de PVC completo com cordão personalizado com o emblema da empresa, com as seguintes especificações: Cordão com 2 cm de largura impressão colorida frente e verso podendo ser com mosquete ou prendedor jacaré; Crachá em pvc de 1mm com laminação fosca anti reflexo; Impressão no crachá frente e verso com as seguintes dimensões: 9 x 6 cm, sendo Altura: 9.00 cm e Largura: 6.00 cm.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unidades por posto a cada 12 meses</w:t>
            </w:r>
          </w:p>
        </w:tc>
        <w:tc>
          <w:tcPr>
            <w:tcW w:w="144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5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29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Jaqueta de Frio ou Japona tipo Rip Stop na cor preta com as seguintes especificações: confeccionado em tecido Rip Stop Profissional; Forro interno em tecido 100% Poliéster; 4 bolsos frontais com tampa; fechamento com zíper e botões; com touca que pode ser ocultada em um compartimento especial; e cordão que impede a entrada de vento pela parte inferior da japona.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unidade por posto a cada 12 meses</w:t>
            </w:r>
          </w:p>
        </w:tc>
        <w:tc>
          <w:tcPr>
            <w:tcW w:w="144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5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>
        <w:trPr>
          <w:cantSplit w:val="0"/>
          <w:trHeight w:val="98" w:hRule="atLeast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29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Meia do tipo militar na cor preta com as seguintes especificações: Ideal para usar em calçado bota tipo coturno; Composição: 52,64% Algodão / 46% Poliamida / 1,36% Elastodieno; Constituída de perna, calcanhar e pé; tamanho único.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pares, por posto, a cada 03 meses</w:t>
            </w:r>
          </w:p>
        </w:tc>
        <w:tc>
          <w:tcPr>
            <w:tcW w:w="144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5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>
      <w:pPr>
        <w:spacing/>
        <w:jc w:val="center"/>
      </w:pPr>
      <w:r/>
    </w:p>
    <w:tbl>
      <w:tblPr>
        <w:tblStyle w:val="TableGrid"/>
        <w:name w:val="Tabela3"/>
        <w:tabOrder w:val="0"/>
        <w:jc w:val="left"/>
        <w:tblInd w:w="0" w:type="dxa"/>
        <w:tblW w:w="13994" w:type="dxa"/>
        <w:tblLook w:val="04A0" w:firstRow="1" w:lastRow="0" w:firstColumn="1" w:lastColumn="0" w:noHBand="0" w:noVBand="1"/>
      </w:tblPr>
      <w:tblGrid>
        <w:gridCol w:w="726"/>
        <w:gridCol w:w="4331"/>
        <w:gridCol w:w="1856"/>
        <w:gridCol w:w="1877"/>
        <w:gridCol w:w="1672"/>
        <w:gridCol w:w="1943"/>
        <w:gridCol w:w="1589"/>
      </w:tblGrid>
      <w:tr>
        <w:trPr>
          <w:cantSplit w:val="0"/>
          <w:trHeight w:val="0" w:hRule="auto"/>
        </w:trPr>
        <w:tc>
          <w:tcPr>
            <w:tcW w:w="13994" w:type="dxa"/>
            <w:gridSpan w:val="7"/>
            <w:shd w:val="solid" w:color="BDD6EE" tmshd="6553856, 15652541, 16777215"/>
            <w:tmTcPr id="1600365677" protected="0"/>
          </w:tcPr>
          <w:p>
            <w:pPr>
              <w: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EQUIPAMENTOS DE PROTEÇÃO INDIVIDUAL POR POSTO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331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1877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672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1943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QUANTIDADE ANUAL POR POSTO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QUANTIDADE</w:t>
            </w:r>
          </w:p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Algemas: Algema, material: aço carbono aisi 1020, tratamento superficial: niquelado, aplicação: pulso, características adicionais: com dobradiça, trava e porta algemas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unidade por posto a cada 12 meses</w:t>
            </w:r>
          </w:p>
        </w:tc>
        <w:tc>
          <w:tcPr>
            <w:tcW w:w="167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Compartilhado</w:t>
            </w:r>
          </w:p>
        </w:tc>
        <w:tc>
          <w:tcPr>
            <w:tcW w:w="1943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Apito com cordão: Apito, material: metal ou plástico; aplicação: vigia, tamanho: médio, características adicionais: com cordão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unidades por posto, a cada 12 meses</w:t>
            </w:r>
          </w:p>
        </w:tc>
        <w:tc>
          <w:tcPr>
            <w:tcW w:w="167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43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Cassetete. material: polímero; comprimento: aproximadamente 58 cm; tipo: tonfa; formato: anatômico; características adicionais: cor preta, cabo sulcos transversais toda extensão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unidade por posto, a cada 12 meses</w:t>
            </w:r>
          </w:p>
        </w:tc>
        <w:tc>
          <w:tcPr>
            <w:tcW w:w="167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43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1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 e Colete a prova de balas com as seguintes especificações: Colete balístico com NÍVEL DE PROTEÇÃO: Nível de proteção II. Colete Multiameaça para uso policial Nível II, confeccionado em material leve e flexível em tecido de Aramida, para proteção simultânea contra-ataques de objetos e ou instrumentos pontiagudos (SPIKE), com energia de impacto E1 igual a 33 Joules + 0,60, e E2 igual a 50 Joules.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unidade por posto, a cada 12 meses</w:t>
            </w:r>
          </w:p>
        </w:tc>
        <w:tc>
          <w:tcPr>
            <w:tcW w:w="167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43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1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Cinto tático com coldre, porta tonfa, baleiro e porta lanterna. Com regulagem com velcro. Em tecido Rip-stop extra forte. Confeccionado com material durável, de alta resistência, com excelente acabamento na cor preta. O cinto deverá ser novo, de primeiro uso.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unidade por posto, a cada 12 meses</w:t>
            </w:r>
          </w:p>
        </w:tc>
        <w:tc>
          <w:tcPr>
            <w:tcW w:w="167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43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1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Lanterna LED tática profissional com as seguintes especificações: Multifunção inteligente: acendimento sempre no modo de alta intensidade; 300 lumens; 2 horas de autonomia; Resistente à água (IPX6); Foco regulável com a função zoom; 5 funções com multifunção inteligente; Compacta; LED Cree XML2 U2 para uso profissional; Acionamento traseiro multifunção: alta, baixa, velada, estrobo e S.O.S; Empunhadura ergonômica com textura antiderrapante e clip tático; Design tático compacto, em alumínio aeroespacial; Recarregável, incluindo bateria 18650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unidade por posto, a cada 06 meses</w:t>
            </w:r>
          </w:p>
        </w:tc>
        <w:tc>
          <w:tcPr>
            <w:tcW w:w="167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Compartilhado</w:t>
            </w:r>
          </w:p>
        </w:tc>
        <w:tc>
          <w:tcPr>
            <w:tcW w:w="1943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1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Rádio de comunicação. Rádio comunicador UHF/VHF, bivolt, com entrada para fones de ouvido/microfone e com bateria recarregável. Área de cobertura de no mínimo 4km; Acessórios: carregador rápido bivolt, clipe cinto, fone ouvido.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por posto a cada 12 meses</w:t>
            </w:r>
          </w:p>
        </w:tc>
        <w:tc>
          <w:tcPr>
            <w:tcW w:w="167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Compartilhado</w:t>
            </w:r>
          </w:p>
        </w:tc>
        <w:tc>
          <w:tcPr>
            <w:tcW w:w="1943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1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Revólver calibre 38: comprimento do cano de 5 a 6 Polegadas; capacidade de 6 a 7 tiros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por posto a cada 12 meses</w:t>
            </w:r>
          </w:p>
        </w:tc>
        <w:tc>
          <w:tcPr>
            <w:tcW w:w="167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Compartilhado</w:t>
            </w:r>
          </w:p>
        </w:tc>
        <w:tc>
          <w:tcPr>
            <w:tcW w:w="1943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1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Capacete para motociclista, número 60, com forro antialérgico em espuma, casco em ABS e isopor, com entradas de ar para ventilação, viseira em policarbonato, cinta jugular com fecho micrométrico, dentro das normas ABNT / INMETRO comprovada através de selo fixado no próprio acessório.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por posto durante a vigência do contrato</w:t>
            </w:r>
          </w:p>
        </w:tc>
        <w:tc>
          <w:tcPr>
            <w:tcW w:w="167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43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(uma unidade para cada posto motorizado durante a vigência do contrato)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(no início da execução do contrato)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1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Luva de proteção para motociclista, tamanho G, com proteção extra no dorso e na palma, interior em tecido acolchoado, fechamento em velcro.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</w:p>
        </w:tc>
        <w:tc>
          <w:tcPr>
            <w:tcW w:w="187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por posto e cada 12 meses</w:t>
            </w:r>
          </w:p>
        </w:tc>
        <w:tc>
          <w:tcPr>
            <w:tcW w:w="167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43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>
        <w:trPr>
          <w:cantSplit w:val="0"/>
          <w:trHeight w:val="0" w:hRule="auto"/>
        </w:trPr>
        <w:tc>
          <w:tcPr>
            <w:tcW w:w="72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1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Caneleira para motociclista com joelheira, material do casco rígido e de alta resistência, interior de tecido perfurado macio, ajuste ergonômico curvo e fixação através de cintas na parte superior e inferior de cada peça.</w:t>
            </w:r>
          </w:p>
        </w:tc>
        <w:tc>
          <w:tcPr>
            <w:tcW w:w="185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</w:p>
        </w:tc>
        <w:tc>
          <w:tcPr>
            <w:tcW w:w="187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por posto durante a vigência do contrato</w:t>
            </w:r>
          </w:p>
        </w:tc>
        <w:tc>
          <w:tcPr>
            <w:tcW w:w="167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943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(um par para cada posto motorizado durante a vigência do contrato)</w:t>
            </w:r>
          </w:p>
        </w:tc>
        <w:tc>
          <w:tcPr>
            <w:tcW w:w="1589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(no início da execução do contrato)</w:t>
            </w:r>
          </w:p>
        </w:tc>
      </w:tr>
    </w:tbl>
    <w:p>
      <w:pPr>
        <w:spacing/>
        <w:jc w:val="center"/>
      </w:pPr>
      <w:r/>
    </w:p>
    <w:tbl>
      <w:tblPr>
        <w:tblStyle w:val="TableGrid"/>
        <w:name w:val="Tabela4"/>
        <w:tabOrder w:val="0"/>
        <w:jc w:val="left"/>
        <w:tblInd w:w="0" w:type="dxa"/>
        <w:tblW w:w="13994" w:type="dxa"/>
        <w:tblLook w:val="04A0" w:firstRow="1" w:lastRow="0" w:firstColumn="1" w:lastColumn="0" w:noHBand="0" w:noVBand="1"/>
      </w:tblPr>
      <w:tblGrid>
        <w:gridCol w:w="727"/>
        <w:gridCol w:w="4343"/>
        <w:gridCol w:w="1996"/>
        <w:gridCol w:w="1860"/>
        <w:gridCol w:w="1701"/>
        <w:gridCol w:w="1842"/>
        <w:gridCol w:w="1525"/>
      </w:tblGrid>
      <w:tr>
        <w:trPr>
          <w:cantSplit w:val="0"/>
          <w:trHeight w:val="0" w:hRule="auto"/>
        </w:trPr>
        <w:tc>
          <w:tcPr>
            <w:tcW w:w="13994" w:type="dxa"/>
            <w:gridSpan w:val="7"/>
            <w:shd w:val="solid" w:color="BDD6EE" tmshd="6553856, 15652541, 16777215"/>
            <w:tmTcPr id="1600365677" protected="0"/>
          </w:tcPr>
          <w:p>
            <w:pPr>
              <w: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MATERIAL DE CONSUMO POR POSTO DE TRABALHO</w:t>
            </w:r>
          </w:p>
        </w:tc>
      </w:tr>
      <w:tr>
        <w:trPr>
          <w:cantSplit w:val="0"/>
          <w:trHeight w:val="0" w:hRule="auto"/>
        </w:trPr>
        <w:tc>
          <w:tcPr>
            <w:tcW w:w="727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343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996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1860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701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1842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QUANTIDADE ANUAL POR POSTO</w:t>
            </w:r>
          </w:p>
        </w:tc>
        <w:tc>
          <w:tcPr>
            <w:tcW w:w="1525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</w:tr>
      <w:tr>
        <w:trPr>
          <w:cantSplit w:val="0"/>
          <w:trHeight w:val="0" w:hRule="auto"/>
        </w:trPr>
        <w:tc>
          <w:tcPr>
            <w:tcW w:w="72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Caneta esferográfica na cor azul ou preta</w:t>
            </w:r>
          </w:p>
        </w:tc>
        <w:tc>
          <w:tcPr>
            <w:tcW w:w="199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860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 por posto, a cada 06 meses</w:t>
            </w:r>
          </w:p>
        </w:tc>
        <w:tc>
          <w:tcPr>
            <w:tcW w:w="170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Compartilhado</w:t>
            </w:r>
          </w:p>
        </w:tc>
        <w:tc>
          <w:tcPr>
            <w:tcW w:w="184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25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>
          <w:cantSplit w:val="0"/>
          <w:trHeight w:val="0" w:hRule="auto"/>
        </w:trPr>
        <w:tc>
          <w:tcPr>
            <w:tcW w:w="72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Livro de ocorrências. Livro tipo atas em margens. Folhas numeradas tipograficamente e acabamento em capa dura. Dimensão 21,10cm x 30,80cm</w:t>
            </w:r>
          </w:p>
        </w:tc>
        <w:tc>
          <w:tcPr>
            <w:tcW w:w="199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860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 por posto, a cada 12 meses</w:t>
            </w:r>
          </w:p>
        </w:tc>
        <w:tc>
          <w:tcPr>
            <w:tcW w:w="170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Compartilhado</w:t>
            </w:r>
          </w:p>
        </w:tc>
        <w:tc>
          <w:tcPr>
            <w:tcW w:w="184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25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>
        <w:trPr>
          <w:cantSplit w:val="0"/>
          <w:trHeight w:val="0" w:hRule="auto"/>
        </w:trPr>
        <w:tc>
          <w:tcPr>
            <w:tcW w:w="72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3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Munição calibre 38. Projétil munição arma fogo, material: chumbo, calibre: .38, tipo: ogival, peso: 158 g, aplicação: revólver, calibre .38 especial</w:t>
            </w:r>
          </w:p>
        </w:tc>
        <w:tc>
          <w:tcPr>
            <w:tcW w:w="199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860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 por posto, a cada 06 meses</w:t>
            </w:r>
          </w:p>
        </w:tc>
        <w:tc>
          <w:tcPr>
            <w:tcW w:w="170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Compartilhado</w:t>
            </w:r>
          </w:p>
        </w:tc>
        <w:tc>
          <w:tcPr>
            <w:tcW w:w="184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>
        <w:trPr>
          <w:cantSplit w:val="0"/>
          <w:trHeight w:val="0" w:hRule="auto"/>
        </w:trPr>
        <w:tc>
          <w:tcPr>
            <w:tcW w:w="72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3" w:type="dxa"/>
            <w:vAlign w:val="center"/>
            <w:tmTcPr id="1600365677" protected="0"/>
          </w:tcPr>
          <w:p>
            <w:pPr>
              <w:spacing/>
              <w:jc w:val="both"/>
            </w:pPr>
            <w:r>
              <w:rPr>
                <w:sz w:val="24"/>
                <w:szCs w:val="24"/>
              </w:rPr>
              <w:t>Combustível para abastecimento da motocicleta, serão realizadas 6 (seis) rondas diurnas e 3 (três) rondas noturnas, percorrendo o perímetro da Escola Fazenda, onde, em cada ronda, será percorrida uma distância aproximada de 8,3 km.</w:t>
            </w:r>
            <w:r/>
          </w:p>
        </w:tc>
        <w:tc>
          <w:tcPr>
            <w:tcW w:w="1996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Litros</w:t>
            </w:r>
          </w:p>
        </w:tc>
        <w:tc>
          <w:tcPr>
            <w:tcW w:w="1860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 litros por dia (considerando um consumo médio de 35 Km/l)</w:t>
            </w:r>
          </w:p>
        </w:tc>
        <w:tc>
          <w:tcPr>
            <w:tcW w:w="170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Compartilhado</w:t>
            </w:r>
          </w:p>
        </w:tc>
        <w:tc>
          <w:tcPr>
            <w:tcW w:w="1842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litros por mês = 768 litros por ano para motocicleta</w:t>
            </w:r>
          </w:p>
        </w:tc>
        <w:tc>
          <w:tcPr>
            <w:tcW w:w="1525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 / Ano</w:t>
            </w:r>
          </w:p>
        </w:tc>
      </w:tr>
    </w:tbl>
    <w:p>
      <w:r/>
    </w:p>
    <w:tbl>
      <w:tblPr>
        <w:tblStyle w:val="TableGrid"/>
        <w:name w:val="Tabela5"/>
        <w:tabOrder w:val="0"/>
        <w:jc w:val="left"/>
        <w:tblInd w:w="0" w:type="dxa"/>
        <w:tblW w:w="13994" w:type="dxa"/>
        <w:tblLook w:val="04A0" w:firstRow="1" w:lastRow="0" w:firstColumn="1" w:lastColumn="0" w:noHBand="0" w:noVBand="1"/>
      </w:tblPr>
      <w:tblGrid>
        <w:gridCol w:w="727"/>
        <w:gridCol w:w="4354"/>
        <w:gridCol w:w="2021"/>
        <w:gridCol w:w="2184"/>
        <w:gridCol w:w="2354"/>
        <w:gridCol w:w="2354"/>
      </w:tblGrid>
      <w:tr>
        <w:trPr>
          <w:cantSplit w:val="0"/>
          <w:trHeight w:val="0" w:hRule="auto"/>
        </w:trPr>
        <w:tc>
          <w:tcPr>
            <w:tcW w:w="13994" w:type="dxa"/>
            <w:gridSpan w:val="6"/>
            <w:shd w:val="solid" w:color="BDD6EE" tmshd="6553856, 15652541, 16777215"/>
            <w:tmTcPr id="1600365677" protected="0"/>
          </w:tcPr>
          <w:p>
            <w:pPr>
              <w: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EQUIPAMENTOS UTILIZADOS POR POSTO DE TRABALHO</w:t>
            </w:r>
          </w:p>
        </w:tc>
      </w:tr>
      <w:tr>
        <w:trPr>
          <w:cantSplit w:val="0"/>
          <w:trHeight w:val="0" w:hRule="auto"/>
        </w:trPr>
        <w:tc>
          <w:tcPr>
            <w:tcW w:w="727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354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021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2184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2354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2354" w:type="dxa"/>
            <w:vAlign w:val="center"/>
            <w:tmTcPr id="1600365677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QUANTIDADE</w:t>
            </w:r>
          </w:p>
        </w:tc>
      </w:tr>
      <w:tr>
        <w:trPr>
          <w:cantSplit w:val="0"/>
          <w:trHeight w:val="0" w:hRule="auto"/>
        </w:trPr>
        <w:tc>
          <w:tcPr>
            <w:tcW w:w="727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  <w:tmTcPr id="1600365677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Motocicleta nova com as seguintes especificações: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cilindrada mínima 160 cc, tipo Bros, Crosser ou similar, bem como combustível de acordo com a memória de cálculo abaixo: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Serão realizadas 6 (seis) rondas diurnas e 3 (três) rondas noturnas, percorrendo o perímetro da Escola Fazenda, onde, em cada ronda, será percorrida uma distância aproximada de 8,3 km.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Assim sendo, teremos, aproximadamente, 49.6 km percorridos por dia nas rondas diurnas e 24,8 nas rondas noturnas, totalizando 74,4 km por dia e 2.232 km por mês (30 dias).</w:t>
            </w:r>
          </w:p>
        </w:tc>
        <w:tc>
          <w:tcPr>
            <w:tcW w:w="2021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2184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durante a vigência contratual</w:t>
            </w:r>
          </w:p>
        </w:tc>
        <w:tc>
          <w:tcPr>
            <w:tcW w:w="2354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Compartilhado</w:t>
            </w:r>
          </w:p>
        </w:tc>
        <w:tc>
          <w:tcPr>
            <w:tcW w:w="2354" w:type="dxa"/>
            <w:vAlign w:val="center"/>
            <w:tmTcPr id="1600365677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Sendo compartilhada entre os postos motorizados diurno e noturno.</w:t>
            </w:r>
          </w:p>
        </w:tc>
      </w:tr>
    </w:tbl>
    <w:p>
      <w:pPr>
        <w:spacing/>
        <w:jc w:val="center"/>
      </w:pPr>
      <w:r/>
    </w:p>
    <w:p>
      <w:r>
        <w:t xml:space="preserve">Obs. Os itens descritos devem ser entregues no início da vigência contratual. Quando se tratar de itens com entregas parceladas as demais entregas deverão ser efetuadas de acordo com a solicitação da contratante. </w:t>
      </w:r>
    </w:p>
    <w:p>
      <w:r/>
    </w:p>
    <w:p>
      <w:pPr>
        <w:ind w:firstLine="708"/>
        <w:spacing/>
        <w:jc w:val="center"/>
      </w:pPr>
      <w:r>
        <w:t>Floresta – PE, 17 de setembro de 2020</w:t>
      </w:r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 w:after="0" w:line="240" w:lineRule="auto"/>
        <w:jc w:val="center"/>
      </w:pPr>
      <w:r>
        <w:t>Danilo Rosa Quirino de Sá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Chefe do Departamento de Administração e Planejamento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Campus Floresta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1906" w:w="16838" w:orient="landscape"/>
      <w:pgMar w:left="1417" w:top="1701" w:right="1417" w:bottom="1701" w:header="708" w:footer="0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center"/>
    </w:pPr>
    <w:r>
      <w:rPr>
        <w:noProof/>
      </w:rPr>
      <w:drawing>
        <wp:inline distT="0" distB="0" distL="0" distR="0">
          <wp:extent cx="708025" cy="69977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  <a:extLst>
                      <a:ext uri="smNativeData">
                        <sm:smNativeData xmlns:sm="smNativeData" val="SMDATA_14_baRj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bBAAATg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025" cy="6997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/>
  </w:p>
  <w:p>
    <w:pPr>
      <w:pStyle w:val="para1"/>
      <w:spacing/>
      <w:jc w:val="center"/>
      <w:rPr>
        <w:rFonts w:ascii="Calibri Light" w:hAnsi="Calibri Light"/>
        <w:b/>
        <w:bCs/>
        <w:sz w:val="20"/>
        <w:szCs w:val="20"/>
      </w:rPr>
    </w:pPr>
    <w:r>
      <w:rPr>
        <w:rFonts w:ascii="Calibri Light" w:hAnsi="Calibri Light"/>
        <w:b/>
        <w:bCs/>
        <w:sz w:val="20"/>
        <w:szCs w:val="20"/>
      </w:rPr>
      <w:t>SERVIÇO PÚBLICO FEDERAL</w:t>
    </w:r>
  </w:p>
  <w:p>
    <w:pPr>
      <w:pStyle w:val="para1"/>
      <w:spacing/>
      <w:jc w:val="center"/>
      <w:rPr>
        <w:rFonts w:ascii="Calibri Light" w:hAnsi="Calibri Light"/>
        <w:b/>
        <w:bCs/>
        <w:sz w:val="20"/>
        <w:szCs w:val="20"/>
      </w:rPr>
    </w:pPr>
    <w:r>
      <w:rPr>
        <w:rFonts w:ascii="Calibri Light" w:hAnsi="Calibri Light"/>
        <w:b/>
        <w:bCs/>
        <w:sz w:val="20"/>
        <w:szCs w:val="20"/>
      </w:rPr>
      <w:t>MINISTÉRIO DA EDUCAÇÃO</w:t>
    </w:r>
  </w:p>
  <w:p>
    <w:pPr>
      <w:pStyle w:val="para1"/>
      <w:spacing/>
      <w:jc w:val="center"/>
      <w:rPr>
        <w:rFonts w:ascii="Calibri Light" w:hAnsi="Calibri Light"/>
        <w:b/>
        <w:bCs/>
        <w:sz w:val="20"/>
        <w:szCs w:val="20"/>
      </w:rPr>
    </w:pPr>
    <w:r>
      <w:rPr>
        <w:rFonts w:ascii="Calibri Light" w:hAnsi="Calibri Light"/>
        <w:b/>
        <w:bCs/>
        <w:sz w:val="20"/>
        <w:szCs w:val="20"/>
      </w:rPr>
      <w:t>SECRETARIA DE EDUCAÇÃO PROFISSIONAL E TECNOLÓGICA</w:t>
    </w:r>
  </w:p>
  <w:p>
    <w:pPr>
      <w:pStyle w:val="para1"/>
      <w:spacing/>
      <w:jc w:val="center"/>
      <w:rPr>
        <w:rFonts w:ascii="Calibri Light" w:hAnsi="Calibri Light"/>
        <w:b/>
        <w:bCs/>
        <w:sz w:val="20"/>
        <w:szCs w:val="20"/>
      </w:rPr>
    </w:pPr>
    <w:r>
      <w:rPr>
        <w:rFonts w:ascii="Calibri Light" w:hAnsi="Calibri Light"/>
        <w:b/>
        <w:bCs/>
        <w:sz w:val="20"/>
        <w:szCs w:val="20"/>
      </w:rPr>
      <w:t>INSTITUTO FEDERAL DE EDUCAÇÃO, CIÊNCIA E TECNOLOGIA DO SERTÃO PERNAMBUCANO</w:t>
    </w:r>
  </w:p>
  <w:p>
    <w:pPr>
      <w:pStyle w:val="para1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8"/>
    <w:tmLastPosSelect w:val="0"/>
    <w:tmLastPosFrameIdx w:val="213"/>
    <w:tmLastPosCaret>
      <w:tmLastPosPgfIdx w:val="0"/>
      <w:tmLastPosIdx w:val="170"/>
    </w:tmLastPosCaret>
    <w:tmLastPosAnchor>
      <w:tmLastPosPgfIdx w:val="0"/>
      <w:tmLastPosIdx w:val="0"/>
    </w:tmLastPosAnchor>
    <w:tmLastPosTblRect w:left="0" w:top="0" w:right="0" w:bottom="0"/>
  </w:tmLastPos>
  <w:tmAppRevision w:date="1600365677" w:val="978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 w:customStyle="1">
    <w:name w:val="Texto de comentário1"/>
    <w:qFormat/>
    <w:basedOn w:val="para0"/>
    <w:pPr>
      <w:spacing w:line="240" w:lineRule="auto"/>
    </w:pPr>
    <w:rPr>
      <w:sz w:val="20"/>
      <w:szCs w:val="20"/>
    </w:rPr>
  </w:style>
  <w:style w:type="paragraph" w:styleId="para4" w:customStyle="1">
    <w:name w:val="Assunto do comentário1"/>
    <w:qFormat/>
    <w:basedOn w:val="para3"/>
    <w:next w:val="para3"/>
    <w:rPr>
      <w:b/>
      <w:bCs/>
    </w:r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 w:customStyle="1">
    <w:name w:val="Ref. de comentário1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Texto de balão Char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 w:customStyle="1">
    <w:name w:val="Texto de comentário1"/>
    <w:qFormat/>
    <w:basedOn w:val="para0"/>
    <w:pPr>
      <w:spacing w:line="240" w:lineRule="auto"/>
    </w:pPr>
    <w:rPr>
      <w:sz w:val="20"/>
      <w:szCs w:val="20"/>
    </w:rPr>
  </w:style>
  <w:style w:type="paragraph" w:styleId="para4" w:customStyle="1">
    <w:name w:val="Assunto do comentário1"/>
    <w:qFormat/>
    <w:basedOn w:val="para3"/>
    <w:next w:val="para3"/>
    <w:rPr>
      <w:b/>
      <w:bCs/>
    </w:r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 w:customStyle="1">
    <w:name w:val="Ref. de comentário1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Texto de balão Char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Willame Dias</dc:creator>
  <cp:keywords/>
  <dc:description/>
  <cp:lastModifiedBy/>
  <cp:revision>3</cp:revision>
  <dcterms:created xsi:type="dcterms:W3CDTF">2020-09-17T14:20:00Z</dcterms:created>
  <dcterms:modified xsi:type="dcterms:W3CDTF">2020-09-17T18:01:17Z</dcterms:modified>
</cp:coreProperties>
</file>