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0000"/>
        </w:rPr>
      </w:pPr>
      <w:r>
        <w:rPr>
          <w:b/>
          <w:color w:val="000000"/>
        </w:rPr>
      </w:r>
    </w:p>
    <w:p>
      <w:pPr>
        <w:pStyle w:val="Normal"/>
        <w:bidi w:val="0"/>
        <w:spacing w:lineRule="auto" w:line="240" w:before="0" w:after="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ANEXO I</w:t>
      </w:r>
    </w:p>
    <w:p>
      <w:pPr>
        <w:pStyle w:val="Normal"/>
        <w:bidi w:val="0"/>
        <w:spacing w:lineRule="auto" w:line="240" w:before="0" w:after="0"/>
        <w:ind w:right="-15" w:hanging="0"/>
        <w:jc w:val="center"/>
        <w:rPr/>
      </w:pPr>
      <w:r>
        <w:rPr>
          <w:rFonts w:eastAsia="Times New Roman" w:cs="Times New Roman" w:ascii="Times New Roman" w:hAnsi="Times New Roman"/>
          <w:b/>
          <w:color w:val="000000"/>
          <w:sz w:val="22"/>
          <w:szCs w:val="22"/>
        </w:rPr>
        <w:t>TERMO DE REFERÊNCIA</w:t>
      </w:r>
    </w:p>
    <w:p>
      <w:pPr>
        <w:pStyle w:val="Normal"/>
        <w:bidi w:val="0"/>
        <w:spacing w:lineRule="auto" w:line="240" w:before="0" w:after="0"/>
        <w:ind w:right="-15"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0"/>
          <w:sz w:val="22"/>
          <w:szCs w:val="22"/>
        </w:rPr>
        <w:t xml:space="preserve"> </w:t>
      </w:r>
      <w:r>
        <w:rPr>
          <w:rFonts w:eastAsia="Times New Roman" w:cs="Times New Roman" w:ascii="Times New Roman" w:hAnsi="Times New Roman"/>
          <w:b/>
          <w:color w:val="000000"/>
          <w:sz w:val="22"/>
          <w:szCs w:val="22"/>
        </w:rPr>
        <w:t>(</w:t>
      </w:r>
      <w:r>
        <w:rPr>
          <w:rFonts w:eastAsia="Times New Roman" w:cs="Times New Roman" w:ascii="Times New Roman" w:hAnsi="Times New Roman"/>
          <w:b/>
          <w:sz w:val="22"/>
          <w:szCs w:val="22"/>
        </w:rPr>
        <w:t>PRESTAÇÃO DE SERVIÇO)</w:t>
      </w:r>
    </w:p>
    <w:p>
      <w:pPr>
        <w:pStyle w:val="Normal"/>
        <w:bidi w:val="0"/>
        <w:spacing w:lineRule="auto" w:line="240" w:before="0" w:after="0"/>
        <w:ind w:left="-397" w:hanging="0"/>
        <w:jc w:val="center"/>
        <w:rPr/>
      </w:pPr>
      <w:r>
        <w:rPr>
          <w:rFonts w:eastAsia="Times New Roman" w:cs="Times New Roman" w:ascii="Times New Roman" w:hAnsi="Times New Roman"/>
          <w:b/>
          <w:color w:val="00000A"/>
          <w:sz w:val="22"/>
          <w:szCs w:val="22"/>
        </w:rPr>
        <w:t>INSTITUTO FEDERAL</w:t>
      </w:r>
      <w:r>
        <w:rPr>
          <w:rFonts w:eastAsia="Times New Roman" w:cs="Times New Roman" w:ascii="Times New Roman" w:hAnsi="Times New Roman"/>
          <w:b/>
          <w:color w:val="00000A"/>
          <w:sz w:val="22"/>
          <w:szCs w:val="22"/>
        </w:rPr>
        <w:t xml:space="preserve"> </w:t>
      </w:r>
      <w:r>
        <w:rPr>
          <w:rFonts w:eastAsia="Times New Roman" w:cs="Times New Roman" w:ascii="Times New Roman" w:hAnsi="Times New Roman"/>
          <w:b/>
          <w:color w:val="00000A"/>
          <w:sz w:val="22"/>
          <w:szCs w:val="22"/>
        </w:rPr>
        <w:t>DO SERTÃO PERNAMBUCANO</w:t>
      </w:r>
    </w:p>
    <w:p>
      <w:pPr>
        <w:pStyle w:val="Normal"/>
        <w:bidi w:val="0"/>
        <w:spacing w:lineRule="auto" w:line="240" w:before="0" w:after="0"/>
        <w:jc w:val="center"/>
        <w:rPr>
          <w:b/>
          <w:b/>
          <w:bCs/>
        </w:rPr>
      </w:pPr>
      <w:r>
        <w:rPr>
          <w:rFonts w:eastAsia="Times New Roman" w:cs="Times New Roman" w:ascii="Times New Roman" w:hAnsi="Times New Roman"/>
          <w:b/>
          <w:bCs/>
          <w:color w:val="000000"/>
          <w:sz w:val="22"/>
          <w:szCs w:val="22"/>
        </w:rPr>
        <w:t>PREGÃO SRP Nº 08/2021</w:t>
      </w:r>
    </w:p>
    <w:p>
      <w:pPr>
        <w:pStyle w:val="Normal"/>
        <w:bidi w:val="0"/>
        <w:spacing w:lineRule="auto" w:line="240" w:before="0" w:after="0"/>
        <w:jc w:val="center"/>
        <w:rPr>
          <w:rFonts w:ascii="Times New Roman" w:hAnsi="Times New Roman" w:eastAsia="Times New Roman" w:cs="Times New Roman"/>
          <w:color w:val="000000"/>
          <w:sz w:val="22"/>
          <w:szCs w:val="22"/>
        </w:rPr>
      </w:pPr>
      <w:r>
        <w:rPr>
          <w:rFonts w:eastAsia="Times New Roman" w:cs="Times New Roman" w:ascii="Times New Roman" w:hAnsi="Times New Roman"/>
          <w:b/>
          <w:bCs/>
          <w:color w:val="000000"/>
          <w:sz w:val="22"/>
          <w:szCs w:val="22"/>
        </w:rPr>
        <w:t>(</w:t>
      </w:r>
      <w:bookmarkStart w:id="0" w:name="__DdeLink__6928_1566638464"/>
      <w:r>
        <w:rPr>
          <w:rFonts w:eastAsia="Times New Roman" w:cs="Times New Roman" w:ascii="Times New Roman" w:hAnsi="Times New Roman"/>
          <w:b/>
          <w:bCs/>
          <w:color w:val="000000"/>
          <w:sz w:val="22"/>
          <w:szCs w:val="22"/>
        </w:rPr>
        <w:t>Processo Administrativo n.º</w:t>
      </w:r>
      <w:r>
        <w:rPr>
          <w:b/>
          <w:bCs/>
          <w:sz w:val="24"/>
          <w:szCs w:val="24"/>
        </w:rPr>
        <w:t xml:space="preserve"> </w:t>
      </w:r>
      <w:r>
        <w:rPr>
          <w:rFonts w:eastAsia="Times New Roman" w:cs="Times New Roman" w:ascii="Times New Roman" w:hAnsi="Times New Roman"/>
          <w:b/>
          <w:bCs/>
          <w:color w:val="000000"/>
          <w:sz w:val="22"/>
          <w:szCs w:val="22"/>
        </w:rPr>
        <w:t>23302.000406.2021-26</w:t>
      </w:r>
      <w:bookmarkEnd w:id="0"/>
      <w:r>
        <w:rPr>
          <w:rFonts w:eastAsia="Times New Roman" w:cs="Times New Roman" w:ascii="Times New Roman" w:hAnsi="Times New Roman"/>
          <w:b/>
          <w:bCs/>
          <w:color w:val="000000"/>
          <w:sz w:val="22"/>
          <w:szCs w:val="22"/>
        </w:rPr>
        <w:t>)</w:t>
      </w:r>
    </w:p>
    <w:p>
      <w:pPr>
        <w:pStyle w:val="Normal"/>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center"/>
        <w:rPr>
          <w:color w:val="000000"/>
          <w:sz w:val="22"/>
          <w:szCs w:val="22"/>
        </w:rPr>
      </w:pPr>
      <w:r>
        <w:rPr>
          <w:color w:val="000000"/>
          <w:sz w:val="22"/>
          <w:szCs w:val="22"/>
        </w:rPr>
      </w:r>
    </w:p>
    <w:p>
      <w:pPr>
        <w:pStyle w:val="Normal"/>
        <w:keepNext w:val="true"/>
        <w:keepLines/>
        <w:numPr>
          <w:ilvl w:val="0"/>
          <w:numId w:val="6"/>
        </w:numPr>
        <w:spacing w:lineRule="auto" w:line="276"/>
        <w:ind w:left="0" w:hanging="0"/>
        <w:jc w:val="both"/>
        <w:rPr>
          <w:b/>
          <w:b/>
          <w:color w:val="000000"/>
          <w:sz w:val="22"/>
          <w:szCs w:val="22"/>
        </w:rPr>
      </w:pPr>
      <w:r>
        <w:rPr>
          <w:b/>
          <w:color w:val="000000"/>
          <w:sz w:val="22"/>
          <w:szCs w:val="22"/>
        </w:rPr>
        <w:t>DO OBJETO</w:t>
      </w:r>
    </w:p>
    <w:p>
      <w:pPr>
        <w:pStyle w:val="Normal"/>
        <w:keepNext w:val="true"/>
        <w:keepLines/>
        <w:spacing w:lineRule="auto" w:line="276"/>
        <w:jc w:val="both"/>
        <w:rPr>
          <w:b/>
          <w:b/>
          <w:color w:val="000000"/>
          <w:sz w:val="22"/>
          <w:szCs w:val="22"/>
        </w:rPr>
      </w:pPr>
      <w:r>
        <w:rPr>
          <w:b/>
          <w:color w:val="000000"/>
          <w:sz w:val="22"/>
          <w:szCs w:val="22"/>
        </w:rPr>
      </w:r>
    </w:p>
    <w:p>
      <w:pPr>
        <w:pStyle w:val="Normal"/>
        <w:numPr>
          <w:ilvl w:val="1"/>
          <w:numId w:val="2"/>
        </w:numPr>
        <w:spacing w:lineRule="auto" w:line="276"/>
        <w:ind w:left="0" w:hanging="0"/>
        <w:jc w:val="both"/>
        <w:rPr/>
      </w:pPr>
      <w:r>
        <w:rPr>
          <w:b/>
          <w:bCs/>
          <w:color w:val="000000"/>
          <w:sz w:val="22"/>
          <w:szCs w:val="22"/>
        </w:rPr>
        <w:t>Contratação de empresa prestadora de serviços de administração e gerenciamento de frota para intermediação de abastecimento de combustíveis, manutenção preventiva e corretiva de veículos, operacionalizados através de rede credenciada distribuída com ampla abrangência no território nacional, com disponibilização de sistema informatizado e integrado via internet para registro e acompanhamento de todas as etapas da execução dos serviços, inclusive orçamento online para cotação de preços de peças e serviços</w:t>
      </w:r>
      <w:r>
        <w:rPr>
          <w:color w:val="000000"/>
          <w:sz w:val="22"/>
          <w:szCs w:val="22"/>
        </w:rPr>
        <w:t xml:space="preserve">, objetivando atender necessidades dos campi e Reitoria do Instituto Federal do Sertão Pernambucano – IF </w:t>
      </w:r>
      <w:r>
        <w:rPr>
          <w:sz w:val="22"/>
          <w:szCs w:val="22"/>
        </w:rPr>
        <w:t>Sertão PE,</w:t>
      </w:r>
      <w:r>
        <w:rPr>
          <w:color w:val="000000"/>
          <w:sz w:val="22"/>
          <w:szCs w:val="22"/>
        </w:rPr>
        <w:t xml:space="preserve"> conforme condições, quantidades e exigências estabelecidas neste instrumento:</w:t>
      </w:r>
    </w:p>
    <w:p>
      <w:pPr>
        <w:pStyle w:val="Normal"/>
        <w:widowControl w:val="false"/>
        <w:ind w:left="360" w:right="-197" w:hanging="0"/>
        <w:rPr>
          <w:b/>
          <w:b/>
          <w:color w:val="000000"/>
        </w:rPr>
      </w:pPr>
      <w:r>
        <w:rPr>
          <w:b/>
          <w:color w:val="000000"/>
        </w:rPr>
      </w:r>
    </w:p>
    <w:p>
      <w:pPr>
        <w:pStyle w:val="Normal"/>
        <w:widowControl w:val="false"/>
        <w:ind w:left="360" w:right="-197" w:hanging="0"/>
        <w:rPr>
          <w:b/>
          <w:b/>
          <w:color w:val="000000"/>
        </w:rPr>
      </w:pPr>
      <w:r>
        <w:rPr>
          <w:b/>
          <w:color w:val="000000"/>
        </w:rPr>
      </w:r>
    </w:p>
    <w:tbl>
      <w:tblPr>
        <w:tblW w:w="9240" w:type="dxa"/>
        <w:jc w:val="left"/>
        <w:tblInd w:w="82" w:type="dxa"/>
        <w:tblCellMar>
          <w:top w:w="0" w:type="dxa"/>
          <w:left w:w="88" w:type="dxa"/>
          <w:bottom w:w="0" w:type="dxa"/>
          <w:right w:w="108" w:type="dxa"/>
        </w:tblCellMar>
        <w:tblLook w:firstRow="0" w:noVBand="1" w:lastRow="0" w:firstColumn="0" w:lastColumn="0" w:noHBand="0" w:val="0400"/>
      </w:tblPr>
      <w:tblGrid>
        <w:gridCol w:w="558"/>
        <w:gridCol w:w="3153"/>
        <w:gridCol w:w="711"/>
        <w:gridCol w:w="988"/>
        <w:gridCol w:w="1421"/>
        <w:gridCol w:w="1416"/>
        <w:gridCol w:w="992"/>
      </w:tblGrid>
      <w:tr>
        <w:trPr/>
        <w:tc>
          <w:tcPr>
            <w:tcW w:w="9239" w:type="dxa"/>
            <w:gridSpan w:val="7"/>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5" w:right="-197" w:hanging="0"/>
              <w:jc w:val="center"/>
              <w:rPr>
                <w:b/>
                <w:b/>
                <w:sz w:val="22"/>
                <w:szCs w:val="22"/>
              </w:rPr>
            </w:pPr>
            <w:r>
              <w:rPr>
                <w:b/>
                <w:sz w:val="22"/>
                <w:szCs w:val="22"/>
              </w:rPr>
              <w:t>GRUPO 01 (Reitoria/IF SERTÃO – PE – UASG 158149)</w:t>
            </w:r>
          </w:p>
          <w:p>
            <w:pPr>
              <w:pStyle w:val="Normal"/>
              <w:widowControl w:val="false"/>
              <w:ind w:left="-104" w:right="-81" w:hanging="0"/>
              <w:jc w:val="center"/>
              <w:rPr>
                <w:b/>
                <w:b/>
                <w:sz w:val="18"/>
                <w:szCs w:val="18"/>
              </w:rPr>
            </w:pPr>
            <w:r>
              <w:rPr>
                <w:b/>
                <w:sz w:val="18"/>
                <w:szCs w:val="18"/>
              </w:rPr>
            </w:r>
          </w:p>
        </w:tc>
      </w:tr>
      <w:tr>
        <w:trPr/>
        <w:tc>
          <w:tcPr>
            <w:tcW w:w="558"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3" w:type="dxa"/>
            <w:tcBorders>
              <w:top w:val="single" w:sz="8" w:space="0" w:color="000001"/>
              <w:left w:val="single" w:sz="8" w:space="0" w:color="000001"/>
              <w:bottom w:val="single" w:sz="8" w:space="0" w:color="000001"/>
              <w:right w:val="single" w:sz="8" w:space="0" w:color="000001"/>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11"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988"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421"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7" w:right="-133" w:hanging="0"/>
              <w:jc w:val="center"/>
              <w:rPr>
                <w:b/>
                <w:b/>
                <w:sz w:val="16"/>
                <w:szCs w:val="16"/>
              </w:rPr>
            </w:pPr>
            <w:r>
              <w:rPr>
                <w:b/>
                <w:sz w:val="16"/>
                <w:szCs w:val="16"/>
              </w:rPr>
              <w:t>Valor Mensal Estimado SEM Desconto(R$)</w:t>
            </w:r>
          </w:p>
        </w:tc>
        <w:tc>
          <w:tcPr>
            <w:tcW w:w="1416"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99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5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w:t>
            </w:r>
          </w:p>
        </w:tc>
        <w:tc>
          <w:tcPr>
            <w:tcW w:w="3153"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1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8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42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10.396,75</w:t>
            </w:r>
          </w:p>
        </w:tc>
        <w:tc>
          <w:tcPr>
            <w:tcW w:w="1416"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left="-57" w:hanging="0"/>
              <w:rPr>
                <w:bCs/>
                <w:color w:val="000000" w:themeColor="text1"/>
                <w:sz w:val="18"/>
                <w:szCs w:val="18"/>
              </w:rPr>
            </w:pPr>
            <w:r>
              <w:rPr>
                <w:bCs/>
                <w:color w:val="000000" w:themeColor="text1"/>
                <w:sz w:val="18"/>
                <w:szCs w:val="18"/>
              </w:rPr>
            </w:r>
          </w:p>
          <w:p>
            <w:pPr>
              <w:pStyle w:val="Normal"/>
              <w:widowControl w:val="false"/>
              <w:spacing w:lineRule="auto" w:line="276" w:before="0" w:after="120"/>
              <w:ind w:left="-57" w:hanging="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124.761,00</w:t>
            </w:r>
          </w:p>
        </w:tc>
        <w:tc>
          <w:tcPr>
            <w:tcW w:w="99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5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jc w:val="center"/>
              <w:rPr>
                <w:sz w:val="18"/>
                <w:szCs w:val="18"/>
              </w:rPr>
            </w:pPr>
            <w:r>
              <w:rPr>
                <w:sz w:val="18"/>
                <w:szCs w:val="18"/>
              </w:rPr>
              <w:t>2</w:t>
            </w:r>
          </w:p>
        </w:tc>
        <w:tc>
          <w:tcPr>
            <w:tcW w:w="3153"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71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8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42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7.116,42</w:t>
            </w:r>
          </w:p>
        </w:tc>
        <w:tc>
          <w:tcPr>
            <w:tcW w:w="1416"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85.397,04</w:t>
            </w:r>
          </w:p>
        </w:tc>
        <w:tc>
          <w:tcPr>
            <w:tcW w:w="99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58"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jc w:val="center"/>
              <w:rPr/>
            </w:pPr>
            <w:r>
              <w:rPr/>
            </w:r>
          </w:p>
        </w:tc>
        <w:tc>
          <w:tcPr>
            <w:tcW w:w="3153" w:type="dxa"/>
            <w:tcBorders>
              <w:top w:val="single" w:sz="8" w:space="0" w:color="000001"/>
              <w:left w:val="single" w:sz="8" w:space="0" w:color="000001"/>
              <w:bottom w:val="single" w:sz="8" w:space="0" w:color="000001"/>
              <w:right w:val="single" w:sz="8" w:space="0" w:color="000001"/>
            </w:tcBorders>
            <w:shd w:color="auto" w:fill="DBEEF3" w:val="clear"/>
          </w:tcPr>
          <w:p>
            <w:pPr>
              <w:pStyle w:val="Normal"/>
              <w:jc w:val="both"/>
              <w:rPr/>
            </w:pPr>
            <w:r>
              <w:rPr/>
            </w:r>
          </w:p>
        </w:tc>
        <w:tc>
          <w:tcPr>
            <w:tcW w:w="711"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ind w:right="-198" w:hanging="0"/>
              <w:rPr/>
            </w:pPr>
            <w:r>
              <w:rPr/>
            </w:r>
          </w:p>
        </w:tc>
        <w:tc>
          <w:tcPr>
            <w:tcW w:w="988"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ind w:left="113" w:hanging="0"/>
              <w:rPr>
                <w:color w:val="000000"/>
              </w:rPr>
            </w:pPr>
            <w:r>
              <w:rPr>
                <w:color w:val="000000"/>
              </w:rPr>
            </w:r>
          </w:p>
        </w:tc>
        <w:tc>
          <w:tcPr>
            <w:tcW w:w="1421"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rPr/>
            </w:pPr>
            <w:r>
              <w:rPr/>
            </w:r>
          </w:p>
        </w:tc>
        <w:tc>
          <w:tcPr>
            <w:tcW w:w="1416"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rPr>
                <w:b/>
                <w:b/>
                <w:sz w:val="18"/>
                <w:szCs w:val="18"/>
              </w:rPr>
            </w:pPr>
            <w:r>
              <w:rPr>
                <w:b/>
                <w:sz w:val="18"/>
                <w:szCs w:val="18"/>
              </w:rPr>
            </w:r>
          </w:p>
        </w:tc>
        <w:tc>
          <w:tcPr>
            <w:tcW w:w="99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4" w:right="-81" w:hanging="0"/>
              <w:jc w:val="center"/>
              <w:rPr>
                <w:b/>
                <w:b/>
                <w:sz w:val="18"/>
                <w:szCs w:val="18"/>
              </w:rPr>
            </w:pPr>
            <w:r>
              <w:rPr>
                <w:b/>
                <w:sz w:val="18"/>
                <w:szCs w:val="18"/>
              </w:rPr>
              <w:t xml:space="preserve">Mínimo de Desconto (%) </w:t>
            </w:r>
          </w:p>
        </w:tc>
      </w:tr>
      <w:tr>
        <w:trPr/>
        <w:tc>
          <w:tcPr>
            <w:tcW w:w="55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3</w:t>
            </w:r>
          </w:p>
        </w:tc>
        <w:tc>
          <w:tcPr>
            <w:tcW w:w="3153"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lavagem/higienização de toda frota de veículos e equipamentos do IF SERTÃO-PE. </w:t>
            </w:r>
            <w:r>
              <w:rPr>
                <w:b/>
              </w:rPr>
              <w:t>CATSERV: 25518</w:t>
            </w:r>
          </w:p>
        </w:tc>
        <w:tc>
          <w:tcPr>
            <w:tcW w:w="71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98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421" w:type="dxa"/>
            <w:tcBorders>
              <w:top w:val="single" w:sz="8" w:space="0" w:color="000001"/>
              <w:left w:val="single" w:sz="8" w:space="0" w:color="000001"/>
              <w:bottom w:val="single" w:sz="8" w:space="0" w:color="000001"/>
              <w:right w:val="single" w:sz="8" w:space="0" w:color="000001"/>
            </w:tcBorders>
            <w:shd w:fill="auto" w:val="clear"/>
          </w:tcPr>
          <w:p>
            <w:pPr>
              <w:pStyle w:val="Normal"/>
              <w:ind w:left="-15" w:right="-50" w:hanging="0"/>
              <w:rPr>
                <w:color w:val="000000"/>
              </w:rPr>
            </w:pPr>
            <w:r>
              <w:rPr>
                <w:color w:val="000000"/>
              </w:rPr>
            </w:r>
          </w:p>
          <w:p>
            <w:pPr>
              <w:pStyle w:val="Normal"/>
              <w:ind w:left="-15" w:right="-50" w:hanging="0"/>
              <w:rPr>
                <w:color w:val="000000"/>
              </w:rPr>
            </w:pPr>
            <w:r>
              <w:rPr>
                <w:color w:val="000000"/>
              </w:rPr>
            </w:r>
          </w:p>
          <w:p>
            <w:pPr>
              <w:pStyle w:val="Normal"/>
              <w:ind w:left="-15" w:right="-50" w:hanging="0"/>
              <w:jc w:val="center"/>
              <w:rPr>
                <w:color w:val="000000"/>
              </w:rPr>
            </w:pPr>
            <w:r>
              <w:rPr>
                <w:color w:val="000000"/>
              </w:rPr>
              <w:t>1,75</w:t>
            </w:r>
          </w:p>
        </w:tc>
        <w:tc>
          <w:tcPr>
            <w:tcW w:w="1416"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color w:val="000000"/>
              </w:rPr>
            </w:pPr>
            <w:r>
              <w:rPr>
                <w:color w:val="000000"/>
              </w:rPr>
            </w:r>
          </w:p>
          <w:p>
            <w:pPr>
              <w:pStyle w:val="Normal"/>
              <w:widowControl w:val="false"/>
              <w:spacing w:lineRule="auto" w:line="276" w:before="0" w:after="120"/>
              <w:rPr>
                <w:color w:val="000000"/>
              </w:rPr>
            </w:pPr>
            <w:r>
              <w:rPr>
                <w:color w:val="000000"/>
              </w:rPr>
            </w:r>
          </w:p>
          <w:p>
            <w:pPr>
              <w:pStyle w:val="Normal"/>
              <w:widowControl w:val="false"/>
              <w:spacing w:lineRule="auto" w:line="276" w:before="0" w:after="120"/>
              <w:jc w:val="center"/>
              <w:rPr>
                <w:color w:val="000000"/>
              </w:rPr>
            </w:pPr>
            <w:r>
              <w:rPr>
                <w:b/>
                <w:bCs/>
                <w:color w:val="000000"/>
              </w:rPr>
              <w:t>21,00</w:t>
            </w:r>
          </w:p>
        </w:tc>
        <w:tc>
          <w:tcPr>
            <w:tcW w:w="99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color w:val="000000"/>
              </w:rPr>
            </w:pPr>
            <w:r>
              <w:rPr>
                <w:color w:val="000000"/>
              </w:rPr>
            </w:r>
          </w:p>
          <w:p>
            <w:pPr>
              <w:pStyle w:val="Normal"/>
              <w:widowControl w:val="false"/>
              <w:spacing w:lineRule="auto" w:line="360" w:before="0" w:after="120"/>
              <w:rPr>
                <w:color w:val="000000"/>
              </w:rPr>
            </w:pPr>
            <w:r>
              <w:rPr>
                <w:color w:val="000000"/>
              </w:rPr>
              <w:t xml:space="preserve">  </w:t>
            </w:r>
            <w:r>
              <w:rPr>
                <w:color w:val="000000"/>
              </w:rPr>
              <w:t>0,01</w:t>
            </w:r>
            <w:r>
              <w:rPr>
                <w:color w:val="000000"/>
                <w:sz w:val="18"/>
                <w:szCs w:val="18"/>
              </w:rPr>
              <w:t>%</w:t>
            </w:r>
          </w:p>
        </w:tc>
      </w:tr>
      <w:tr>
        <w:trPr/>
        <w:tc>
          <w:tcPr>
            <w:tcW w:w="6831" w:type="dxa"/>
            <w:gridSpan w:val="5"/>
            <w:tcBorders>
              <w:top w:val="single" w:sz="8" w:space="0" w:color="000001"/>
              <w:left w:val="single" w:sz="8" w:space="0" w:color="000001"/>
              <w:bottom w:val="single" w:sz="8" w:space="0" w:color="000001"/>
              <w:right w:val="single" w:sz="8" w:space="0" w:color="000001"/>
            </w:tcBorders>
            <w:shd w:fill="auto" w:val="clear"/>
          </w:tcPr>
          <w:p>
            <w:pPr>
              <w:pStyle w:val="Normal"/>
              <w:ind w:left="-15" w:right="-50" w:hanging="0"/>
              <w:rPr>
                <w:b/>
                <w:b/>
                <w:bCs/>
              </w:rPr>
            </w:pPr>
            <w:r>
              <w:rPr>
                <w:b/>
                <w:bCs/>
              </w:rPr>
              <w:t>Valor Total Estimado SEM Desconto R$</w:t>
            </w:r>
          </w:p>
        </w:tc>
        <w:tc>
          <w:tcPr>
            <w:tcW w:w="2408" w:type="dxa"/>
            <w:gridSpan w:val="2"/>
            <w:tcBorders>
              <w:top w:val="single" w:sz="8" w:space="0" w:color="000001"/>
              <w:left w:val="single" w:sz="8" w:space="0" w:color="000001"/>
              <w:bottom w:val="single" w:sz="8" w:space="0" w:color="000001"/>
              <w:right w:val="single" w:sz="8" w:space="0" w:color="000001"/>
            </w:tcBorders>
            <w:shd w:color="auto" w:fill="FFFF00" w:val="clear"/>
          </w:tcPr>
          <w:p>
            <w:pPr>
              <w:pStyle w:val="Normal"/>
              <w:widowControl w:val="false"/>
              <w:spacing w:lineRule="auto" w:line="276" w:before="0" w:after="120"/>
              <w:jc w:val="center"/>
              <w:rPr>
                <w:color w:val="000000"/>
              </w:rPr>
            </w:pPr>
            <w:r>
              <w:rPr>
                <w:b/>
                <w:bCs/>
                <w:color w:val="000000"/>
              </w:rPr>
              <w:t>210.179,04</w:t>
            </w:r>
          </w:p>
        </w:tc>
      </w:tr>
      <w:tr>
        <w:trPr/>
        <w:tc>
          <w:tcPr>
            <w:tcW w:w="9239" w:type="dxa"/>
            <w:gridSpan w:val="7"/>
            <w:tcBorders>
              <w:top w:val="single" w:sz="8" w:space="0" w:color="000001"/>
              <w:left w:val="single" w:sz="8" w:space="0" w:color="000001"/>
              <w:bottom w:val="single" w:sz="8" w:space="0" w:color="000001"/>
              <w:right w:val="single" w:sz="8" w:space="0" w:color="000001"/>
            </w:tcBorders>
            <w:shd w:fill="auto" w:val="clear"/>
          </w:tcPr>
          <w:p>
            <w:pPr>
              <w:pStyle w:val="Normal"/>
              <w:rPr/>
            </w:pPr>
            <w:r>
              <w:rPr>
                <w:b/>
                <w:color w:val="000000"/>
                <w:sz w:val="18"/>
                <w:szCs w:val="18"/>
              </w:rPr>
              <w:t>Endereço e contatos para a prestação dos serviços:</w:t>
            </w:r>
            <w:r>
              <w:rPr>
                <w:color w:val="000000"/>
                <w:sz w:val="18"/>
                <w:szCs w:val="18"/>
              </w:rPr>
              <w:t xml:space="preserve"> Rua Aristarco Lopes, 240, Centro, Petrolina -PE. CEP 56302-100. Telefone: (87) 2101 2350/ Ramal 2354. E-mail: </w:t>
            </w:r>
            <w:r>
              <w:rPr>
                <w:rStyle w:val="Linkdainternetvisitado"/>
                <w:color w:val="0000FF"/>
                <w:sz w:val="18"/>
                <w:szCs w:val="18"/>
                <w:u w:val="single"/>
              </w:rPr>
              <w:t xml:space="preserve">rt.clmtv@ifsertao-pe.edu.br   </w:t>
            </w:r>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 xml:space="preserve">Obs. 01: Os valores dos itens 01 e 02 representam as estimativas de gastos com combustíveis, Arla 32, lubrificantes, peças, serviços e manutenções para o período de 12(doze) meses. No caso do item 03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01 e 02 será aplicado diretamente sobre os valores das faturas dos fornecimentos e serviços prestados pela rede credenciada/conveniada da empresa administradora.</w:t>
      </w:r>
    </w:p>
    <w:p>
      <w:pPr>
        <w:pStyle w:val="Normal"/>
        <w:rPr>
          <w:b/>
          <w:b/>
          <w:sz w:val="18"/>
          <w:szCs w:val="18"/>
        </w:rPr>
      </w:pPr>
      <w:r>
        <w:rPr>
          <w:b/>
          <w:sz w:val="18"/>
          <w:szCs w:val="18"/>
        </w:rPr>
      </w:r>
    </w:p>
    <w:p>
      <w:pPr>
        <w:pStyle w:val="Normal"/>
        <w:widowControl w:val="false"/>
        <w:spacing w:lineRule="auto" w:line="276" w:before="0" w:after="120"/>
        <w:ind w:left="360" w:hanging="0"/>
        <w:jc w:val="both"/>
        <w:rPr>
          <w:color w:val="000000"/>
          <w:sz w:val="18"/>
          <w:szCs w:val="18"/>
        </w:rPr>
      </w:pPr>
      <w:r>
        <w:rPr>
          <w:color w:val="000000"/>
          <w:sz w:val="18"/>
          <w:szCs w:val="18"/>
        </w:rPr>
      </w:r>
    </w:p>
    <w:tbl>
      <w:tblPr>
        <w:tblW w:w="9383" w:type="dxa"/>
        <w:jc w:val="center"/>
        <w:tblInd w:w="0" w:type="dxa"/>
        <w:tblCellMar>
          <w:top w:w="0" w:type="dxa"/>
          <w:left w:w="88" w:type="dxa"/>
          <w:bottom w:w="0" w:type="dxa"/>
          <w:right w:w="108" w:type="dxa"/>
        </w:tblCellMar>
        <w:tblLook w:firstRow="0" w:noVBand="1" w:lastRow="0" w:firstColumn="0" w:lastColumn="0" w:noHBand="0" w:val="0400"/>
      </w:tblPr>
      <w:tblGrid>
        <w:gridCol w:w="561"/>
        <w:gridCol w:w="3152"/>
        <w:gridCol w:w="712"/>
        <w:gridCol w:w="1132"/>
        <w:gridCol w:w="1275"/>
        <w:gridCol w:w="1418"/>
        <w:gridCol w:w="1132"/>
      </w:tblGrid>
      <w:tr>
        <w:trPr/>
        <w:tc>
          <w:tcPr>
            <w:tcW w:w="9382" w:type="dxa"/>
            <w:gridSpan w:val="7"/>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hd w:val="clear" w:color="auto" w:fill="DBEEF3"/>
              <w:ind w:right="-197" w:hanging="0"/>
              <w:jc w:val="center"/>
              <w:rPr>
                <w:b/>
                <w:b/>
                <w:sz w:val="22"/>
                <w:szCs w:val="22"/>
              </w:rPr>
            </w:pPr>
            <w:r>
              <w:rPr>
                <w:b/>
                <w:sz w:val="22"/>
                <w:szCs w:val="22"/>
              </w:rPr>
              <w:t>GRUPO 02 (Campus Petrolina/IF SERTÃO – PE – UASG 158499)</w:t>
            </w:r>
          </w:p>
          <w:p>
            <w:pPr>
              <w:pStyle w:val="Normal"/>
              <w:widowControl w:val="false"/>
              <w:ind w:left="-104" w:right="-81" w:hanging="0"/>
              <w:jc w:val="center"/>
              <w:rPr>
                <w:b/>
                <w:b/>
                <w:sz w:val="18"/>
                <w:szCs w:val="18"/>
              </w:rPr>
            </w:pPr>
            <w:r>
              <w:rPr>
                <w:b/>
                <w:sz w:val="18"/>
                <w:szCs w:val="18"/>
              </w:rPr>
            </w:r>
          </w:p>
        </w:tc>
      </w:tr>
      <w:tr>
        <w:trPr/>
        <w:tc>
          <w:tcPr>
            <w:tcW w:w="561"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2" w:type="dxa"/>
            <w:tcBorders>
              <w:top w:val="single" w:sz="8" w:space="0" w:color="000001"/>
              <w:left w:val="single" w:sz="8" w:space="0" w:color="000001"/>
              <w:bottom w:val="single" w:sz="8" w:space="0" w:color="000001"/>
              <w:right w:val="single" w:sz="8" w:space="0" w:color="000001"/>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1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8"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6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4</w:t>
            </w:r>
          </w:p>
        </w:tc>
        <w:tc>
          <w:tcPr>
            <w:tcW w:w="315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1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rPr>
                <w:sz w:val="18"/>
                <w:szCs w:val="18"/>
              </w:rPr>
            </w:pPr>
            <w:r>
              <w:rPr>
                <w:color w:val="000000"/>
                <w:sz w:val="18"/>
                <w:szCs w:val="18"/>
              </w:rPr>
              <w:t>12</w:t>
            </w:r>
          </w:p>
        </w:tc>
        <w:tc>
          <w:tcPr>
            <w:tcW w:w="1275"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7.249,24</w:t>
            </w:r>
          </w:p>
        </w:tc>
        <w:tc>
          <w:tcPr>
            <w:tcW w:w="14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86.990,88</w:t>
            </w:r>
          </w:p>
        </w:tc>
        <w:tc>
          <w:tcPr>
            <w:tcW w:w="113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6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jc w:val="center"/>
              <w:rPr>
                <w:sz w:val="18"/>
                <w:szCs w:val="18"/>
              </w:rPr>
            </w:pPr>
            <w:r>
              <w:rPr>
                <w:sz w:val="18"/>
                <w:szCs w:val="18"/>
              </w:rPr>
              <w:t>5</w:t>
            </w:r>
          </w:p>
        </w:tc>
        <w:tc>
          <w:tcPr>
            <w:tcW w:w="3152"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1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6.868,33</w:t>
            </w:r>
          </w:p>
        </w:tc>
        <w:tc>
          <w:tcPr>
            <w:tcW w:w="14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82.419,96</w:t>
            </w:r>
          </w:p>
        </w:tc>
        <w:tc>
          <w:tcPr>
            <w:tcW w:w="113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61"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3152" w:type="dxa"/>
            <w:tcBorders>
              <w:top w:val="single" w:sz="8" w:space="0" w:color="000001"/>
              <w:left w:val="single" w:sz="8" w:space="0" w:color="000001"/>
              <w:bottom w:val="single" w:sz="8" w:space="0" w:color="000001"/>
              <w:right w:val="single" w:sz="8" w:space="0" w:color="000001"/>
            </w:tcBorders>
            <w:shd w:color="auto" w:fill="DBEEF3" w:val="clear"/>
          </w:tcPr>
          <w:p>
            <w:pPr>
              <w:pStyle w:val="Normal"/>
              <w:jc w:val="both"/>
              <w:rPr>
                <w:b/>
                <w:b/>
                <w:sz w:val="18"/>
                <w:szCs w:val="18"/>
              </w:rPr>
            </w:pPr>
            <w:r>
              <w:rPr>
                <w:b/>
                <w:sz w:val="18"/>
                <w:szCs w:val="18"/>
              </w:rPr>
            </w:r>
          </w:p>
        </w:tc>
        <w:tc>
          <w:tcPr>
            <w:tcW w:w="71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5" w:type="dxa"/>
            <w:tcBorders>
              <w:top w:val="single" w:sz="8" w:space="0" w:color="000001"/>
              <w:left w:val="single" w:sz="8" w:space="0" w:color="000001"/>
              <w:bottom w:val="single" w:sz="8" w:space="0" w:color="000001"/>
              <w:right w:val="single" w:sz="8" w:space="0" w:color="000001"/>
            </w:tcBorders>
            <w:shd w:color="auto" w:fill="DBEEF3" w:val="clear"/>
          </w:tcPr>
          <w:p>
            <w:pPr>
              <w:pStyle w:val="Normal"/>
              <w:ind w:left="-15" w:right="-50" w:hanging="0"/>
              <w:rPr>
                <w:b/>
                <w:b/>
                <w:sz w:val="18"/>
                <w:szCs w:val="18"/>
              </w:rPr>
            </w:pPr>
            <w:r>
              <w:rPr>
                <w:b/>
                <w:sz w:val="18"/>
                <w:szCs w:val="18"/>
              </w:rPr>
            </w:r>
          </w:p>
        </w:tc>
        <w:tc>
          <w:tcPr>
            <w:tcW w:w="1418"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spacing w:lineRule="auto" w:line="276" w:before="0" w:after="120"/>
              <w:jc w:val="both"/>
              <w:rPr>
                <w:b/>
                <w:b/>
                <w:sz w:val="16"/>
                <w:szCs w:val="16"/>
              </w:rPr>
            </w:pPr>
            <w:r>
              <w:rPr>
                <w:b/>
                <w:sz w:val="16"/>
                <w:szCs w:val="16"/>
              </w:rPr>
            </w:r>
          </w:p>
        </w:tc>
        <w:tc>
          <w:tcPr>
            <w:tcW w:w="1132" w:type="dxa"/>
            <w:tcBorders>
              <w:top w:val="single" w:sz="8" w:space="0" w:color="000001"/>
              <w:left w:val="single" w:sz="8" w:space="0" w:color="000001"/>
              <w:bottom w:val="single" w:sz="8" w:space="0" w:color="000001"/>
              <w:right w:val="single" w:sz="8" w:space="0" w:color="000001"/>
            </w:tcBorders>
            <w:shd w:color="auto" w:fill="DBEEF3" w:val="clear"/>
          </w:tcPr>
          <w:p>
            <w:pPr>
              <w:pStyle w:val="Normal"/>
              <w:widowControl w:val="false"/>
              <w:ind w:left="-104" w:right="-81" w:hanging="0"/>
              <w:jc w:val="center"/>
              <w:rPr>
                <w:b/>
                <w:b/>
                <w:sz w:val="18"/>
                <w:szCs w:val="18"/>
              </w:rPr>
            </w:pPr>
            <w:r>
              <w:rPr>
                <w:b/>
                <w:sz w:val="18"/>
                <w:szCs w:val="18"/>
              </w:rPr>
              <w:t xml:space="preserve">Mínimo de Desconto (%) </w:t>
            </w:r>
          </w:p>
        </w:tc>
      </w:tr>
      <w:tr>
        <w:trPr/>
        <w:tc>
          <w:tcPr>
            <w:tcW w:w="56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6</w:t>
            </w:r>
          </w:p>
        </w:tc>
        <w:tc>
          <w:tcPr>
            <w:tcW w:w="3152"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1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left="-15" w:right="-50" w:hanging="0"/>
              <w:rPr>
                <w:color w:val="000000"/>
                <w:sz w:val="18"/>
                <w:szCs w:val="18"/>
              </w:rPr>
            </w:pPr>
            <w:r>
              <w:rPr>
                <w:color w:val="000000"/>
                <w:sz w:val="18"/>
                <w:szCs w:val="18"/>
              </w:rPr>
            </w:r>
          </w:p>
          <w:p>
            <w:pPr>
              <w:pStyle w:val="Normal"/>
              <w:ind w:left="-15" w:right="-50" w:hanging="0"/>
              <w:rPr>
                <w:color w:val="000000"/>
                <w:sz w:val="18"/>
                <w:szCs w:val="18"/>
              </w:rPr>
            </w:pPr>
            <w:r>
              <w:rPr>
                <w:color w:val="000000"/>
                <w:sz w:val="18"/>
                <w:szCs w:val="18"/>
              </w:rPr>
            </w:r>
          </w:p>
          <w:p>
            <w:pPr>
              <w:pStyle w:val="Normal"/>
              <w:ind w:left="-15" w:right="-50" w:hanging="0"/>
              <w:rPr>
                <w:color w:val="000000"/>
              </w:rPr>
            </w:pPr>
            <w:r>
              <w:rPr>
                <w:color w:val="000000"/>
                <w:sz w:val="18"/>
                <w:szCs w:val="18"/>
              </w:rPr>
              <w:t xml:space="preserve">   </w:t>
            </w:r>
            <w:r>
              <w:rPr>
                <w:color w:val="000000"/>
                <w:sz w:val="18"/>
                <w:szCs w:val="18"/>
              </w:rPr>
              <w:t>*1,41</w:t>
            </w:r>
          </w:p>
        </w:tc>
        <w:tc>
          <w:tcPr>
            <w:tcW w:w="141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spacing w:lineRule="auto" w:line="276" w:before="0" w:after="120"/>
              <w:rPr>
                <w:color w:val="000000"/>
              </w:rPr>
            </w:pPr>
            <w:r>
              <w:rPr>
                <w:b/>
                <w:bCs/>
                <w:color w:val="000000"/>
                <w:sz w:val="18"/>
                <w:szCs w:val="18"/>
              </w:rPr>
              <w:t>16,92</w:t>
            </w:r>
          </w:p>
        </w:tc>
        <w:tc>
          <w:tcPr>
            <w:tcW w:w="113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spacing w:lineRule="auto" w:line="276" w:before="0" w:after="120"/>
              <w:rPr>
                <w:color w:val="000000"/>
              </w:rPr>
            </w:pPr>
            <w:r>
              <w:rPr>
                <w:color w:val="000000"/>
              </w:rPr>
            </w:r>
          </w:p>
          <w:p>
            <w:pPr>
              <w:pStyle w:val="Normal"/>
              <w:widowControl w:val="false"/>
              <w:spacing w:lineRule="auto" w:line="360" w:before="0" w:after="120"/>
              <w:rPr>
                <w:color w:val="000000"/>
              </w:rPr>
            </w:pPr>
            <w:r>
              <w:rPr>
                <w:color w:val="000000"/>
              </w:rPr>
              <w:t>0,01</w:t>
            </w:r>
            <w:r>
              <w:rPr>
                <w:color w:val="000000"/>
                <w:sz w:val="18"/>
                <w:szCs w:val="18"/>
              </w:rPr>
              <w:t>%</w:t>
            </w:r>
          </w:p>
        </w:tc>
      </w:tr>
      <w:tr>
        <w:trPr/>
        <w:tc>
          <w:tcPr>
            <w:tcW w:w="6832" w:type="dxa"/>
            <w:gridSpan w:val="5"/>
            <w:tcBorders>
              <w:top w:val="single" w:sz="8" w:space="0" w:color="000001"/>
              <w:left w:val="single" w:sz="8" w:space="0" w:color="000001"/>
              <w:bottom w:val="single" w:sz="8" w:space="0" w:color="000001"/>
              <w:right w:val="single" w:sz="8" w:space="0" w:color="000001"/>
            </w:tcBorders>
            <w:shd w:fill="auto" w:val="clear"/>
          </w:tcPr>
          <w:p>
            <w:pPr>
              <w:pStyle w:val="Normal"/>
              <w:ind w:left="-15" w:right="-50" w:hanging="0"/>
              <w:rPr>
                <w:sz w:val="18"/>
                <w:szCs w:val="18"/>
              </w:rPr>
            </w:pPr>
            <w:r>
              <w:rPr>
                <w:b/>
                <w:bCs/>
              </w:rPr>
              <w:t>Valor Total Estimado SEM Desconto R$</w:t>
            </w:r>
          </w:p>
        </w:tc>
        <w:tc>
          <w:tcPr>
            <w:tcW w:w="2550" w:type="dxa"/>
            <w:gridSpan w:val="2"/>
            <w:tcBorders>
              <w:top w:val="single" w:sz="8" w:space="0" w:color="000001"/>
              <w:left w:val="single" w:sz="8" w:space="0" w:color="000001"/>
              <w:bottom w:val="single" w:sz="8" w:space="0" w:color="000001"/>
              <w:right w:val="single" w:sz="8" w:space="0" w:color="000001"/>
            </w:tcBorders>
            <w:shd w:color="auto" w:fill="FFFF00" w:val="clear"/>
          </w:tcPr>
          <w:p>
            <w:pPr>
              <w:pStyle w:val="Normal"/>
              <w:widowControl w:val="false"/>
              <w:spacing w:lineRule="auto" w:line="276" w:before="0" w:after="120"/>
              <w:ind w:left="-15" w:right="-50" w:hanging="0"/>
              <w:jc w:val="center"/>
              <w:rPr>
                <w:color w:val="000000"/>
              </w:rPr>
            </w:pPr>
            <w:r>
              <w:rPr>
                <w:b/>
                <w:bCs/>
                <w:color w:val="000000"/>
              </w:rPr>
              <w:t>169.427,76</w:t>
            </w:r>
          </w:p>
          <w:p>
            <w:pPr>
              <w:pStyle w:val="Normal"/>
              <w:ind w:left="-15" w:right="-50" w:hanging="0"/>
              <w:jc w:val="center"/>
              <w:rPr>
                <w:color w:val="000000"/>
              </w:rPr>
            </w:pPr>
            <w:r>
              <w:rPr>
                <w:color w:val="000000"/>
              </w:rPr>
            </w:r>
          </w:p>
        </w:tc>
      </w:tr>
      <w:tr>
        <w:trPr/>
        <w:tc>
          <w:tcPr>
            <w:tcW w:w="9382" w:type="dxa"/>
            <w:gridSpan w:val="7"/>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left="89" w:right="-197" w:hanging="0"/>
              <w:jc w:val="both"/>
              <w:rPr>
                <w:sz w:val="18"/>
                <w:szCs w:val="18"/>
              </w:rPr>
            </w:pPr>
            <w:r>
              <w:rPr>
                <w:b/>
                <w:sz w:val="18"/>
                <w:szCs w:val="18"/>
              </w:rPr>
              <w:t>Endereço e contatos para a prestação dos serviços</w:t>
            </w:r>
            <w:r>
              <w:rPr>
                <w:sz w:val="18"/>
                <w:szCs w:val="18"/>
              </w:rPr>
              <w:t xml:space="preserve">: Rua Maria Luiza de Araújo Gomes Cabral, s/n, João </w:t>
            </w:r>
          </w:p>
          <w:p>
            <w:pPr>
              <w:pStyle w:val="Normal"/>
              <w:widowControl w:val="false"/>
              <w:ind w:left="89" w:right="-197" w:hanging="0"/>
              <w:jc w:val="both"/>
              <w:rPr/>
            </w:pPr>
            <w:r>
              <w:rPr>
                <w:sz w:val="18"/>
                <w:szCs w:val="18"/>
              </w:rPr>
              <w:t xml:space="preserve">de Deus, CEP: 56316-686 | Petrolina/PE. Telefone: (87) 2101-4300.  </w:t>
            </w:r>
            <w:r>
              <w:rPr>
                <w:b/>
                <w:color w:val="00000A"/>
                <w:sz w:val="18"/>
                <w:szCs w:val="18"/>
              </w:rPr>
              <w:t xml:space="preserve">E-mail: </w:t>
            </w:r>
            <w:hyperlink r:id="rId2">
              <w:r>
                <w:rPr>
                  <w:rStyle w:val="LinkdaInternet"/>
                  <w:b/>
                  <w:color w:val="0000FF"/>
                  <w:sz w:val="18"/>
                  <w:szCs w:val="18"/>
                  <w:u w:val="single"/>
                </w:rPr>
                <w:t>cp.licita@ifsertao-pe.edu.br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b/>
          <w:b/>
          <w:color w:val="000000"/>
          <w:sz w:val="18"/>
          <w:szCs w:val="18"/>
        </w:rPr>
      </w:pPr>
      <w:r>
        <w:rPr>
          <w:b/>
          <w:color w:val="000000"/>
          <w:sz w:val="18"/>
          <w:szCs w:val="18"/>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01: Os valores dos itens 04 e 05 representam as estimativas de gastos com combustíveis, Arla 32, lubrificantes, peças, serviços e manutenções para o período de 12(doze) meses. No caso do item 06 o valor representa o mínimo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04 e 05 será aplicado diretamente sobre os valores das faturas dos fornecimentos e serviços prestados pela rede credenciada/conveniada da empresa administradora.</w:t>
      </w:r>
    </w:p>
    <w:p>
      <w:pPr>
        <w:pStyle w:val="Normal"/>
        <w:widowControl w:val="false"/>
        <w:spacing w:lineRule="auto" w:line="276" w:before="0" w:after="120"/>
        <w:ind w:left="360" w:hanging="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9383" w:type="dxa"/>
        <w:jc w:val="center"/>
        <w:tblInd w:w="0" w:type="dxa"/>
        <w:tblCellMar>
          <w:top w:w="0" w:type="dxa"/>
          <w:left w:w="98" w:type="dxa"/>
          <w:bottom w:w="0" w:type="dxa"/>
          <w:right w:w="108" w:type="dxa"/>
        </w:tblCellMar>
        <w:tblLook w:firstRow="0" w:noVBand="1" w:lastRow="0" w:firstColumn="0" w:lastColumn="0" w:noHBand="0" w:val="0400"/>
      </w:tblPr>
      <w:tblGrid>
        <w:gridCol w:w="547"/>
        <w:gridCol w:w="3163"/>
        <w:gridCol w:w="709"/>
        <w:gridCol w:w="1137"/>
        <w:gridCol w:w="1275"/>
        <w:gridCol w:w="2"/>
        <w:gridCol w:w="1417"/>
        <w:gridCol w:w="1132"/>
      </w:tblGrid>
      <w:tr>
        <w:trPr/>
        <w:tc>
          <w:tcPr>
            <w:tcW w:w="9382" w:type="dxa"/>
            <w:gridSpan w:val="8"/>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245" w:right="-197" w:hanging="0"/>
              <w:jc w:val="center"/>
              <w:rPr>
                <w:b/>
                <w:b/>
                <w:sz w:val="22"/>
                <w:szCs w:val="22"/>
              </w:rPr>
            </w:pPr>
            <w:r>
              <w:rPr>
                <w:b/>
                <w:sz w:val="22"/>
                <w:szCs w:val="22"/>
              </w:rPr>
              <w:t xml:space="preserve">GRUPO 03 (Campus Petrolina Zona Rural/IF SERTÃO – PE – UASG 158278) </w:t>
            </w:r>
          </w:p>
          <w:p>
            <w:pPr>
              <w:pStyle w:val="Normal"/>
              <w:widowControl w:val="false"/>
              <w:ind w:left="-104" w:right="-81" w:hanging="0"/>
              <w:jc w:val="center"/>
              <w:rPr>
                <w:b/>
                <w:b/>
                <w:sz w:val="18"/>
                <w:szCs w:val="18"/>
              </w:rPr>
            </w:pPr>
            <w:r>
              <w:rPr>
                <w:b/>
                <w:sz w:val="18"/>
                <w:szCs w:val="18"/>
              </w:rPr>
            </w:r>
          </w:p>
        </w:tc>
      </w:tr>
      <w:tr>
        <w:trPr/>
        <w:tc>
          <w:tcPr>
            <w:tcW w:w="54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63"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0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Valor Mensal Estimado (R$)</w:t>
            </w:r>
          </w:p>
        </w:tc>
        <w:tc>
          <w:tcPr>
            <w:tcW w:w="141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4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7</w:t>
            </w:r>
          </w:p>
        </w:tc>
        <w:tc>
          <w:tcPr>
            <w:tcW w:w="316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0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color w:val="000000"/>
                <w:sz w:val="18"/>
                <w:szCs w:val="18"/>
              </w:rPr>
              <w:t>12</w:t>
            </w:r>
          </w:p>
        </w:tc>
        <w:tc>
          <w:tcPr>
            <w:tcW w:w="12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10.547,65</w:t>
            </w:r>
          </w:p>
        </w:tc>
        <w:tc>
          <w:tcPr>
            <w:tcW w:w="141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126.571,80</w:t>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4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8</w:t>
            </w:r>
          </w:p>
        </w:tc>
        <w:tc>
          <w:tcPr>
            <w:tcW w:w="316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16.630,00</w:t>
            </w:r>
          </w:p>
        </w:tc>
        <w:tc>
          <w:tcPr>
            <w:tcW w:w="141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199.560,00</w:t>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4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pPr>
            <w:r>
              <w:rPr/>
            </w:r>
          </w:p>
        </w:tc>
        <w:tc>
          <w:tcPr>
            <w:tcW w:w="3163"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rPr>
            </w:pPr>
            <w:r>
              <w:rPr>
                <w:b/>
              </w:rPr>
            </w:r>
          </w:p>
        </w:tc>
        <w:tc>
          <w:tcPr>
            <w:tcW w:w="70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pPr>
            <w:r>
              <w:rPr/>
            </w:r>
          </w:p>
        </w:tc>
        <w:tc>
          <w:tcPr>
            <w:tcW w:w="113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pPr>
            <w:r>
              <w:rPr/>
            </w:r>
          </w:p>
        </w:tc>
        <w:tc>
          <w:tcPr>
            <w:tcW w:w="12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pPr>
            <w:r>
              <w:rPr/>
            </w:r>
          </w:p>
        </w:tc>
        <w:tc>
          <w:tcPr>
            <w:tcW w:w="141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sz w:val="18"/>
                <w:szCs w:val="18"/>
              </w:rPr>
            </w:pPr>
            <w:r>
              <w:rPr>
                <w:b/>
                <w:sz w:val="18"/>
                <w:szCs w:val="18"/>
              </w:rPr>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4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9</w:t>
            </w:r>
          </w:p>
        </w:tc>
        <w:tc>
          <w:tcPr>
            <w:tcW w:w="316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sz w:val="18"/>
                <w:szCs w:val="18"/>
              </w:rPr>
            </w:pPr>
            <w:r>
              <w:rPr>
                <w:sz w:val="18"/>
                <w:szCs w:val="18"/>
              </w:rPr>
            </w:r>
          </w:p>
          <w:p>
            <w:pPr>
              <w:pStyle w:val="Normal"/>
              <w:widowControl w:val="false"/>
              <w:spacing w:lineRule="auto" w:line="276" w:before="0" w:after="120"/>
              <w:ind w:left="113" w:hanging="0"/>
              <w:jc w:val="center"/>
              <w:rPr>
                <w:sz w:val="18"/>
                <w:szCs w:val="18"/>
              </w:rPr>
            </w:pPr>
            <w:r>
              <w:rPr>
                <w:sz w:val="18"/>
                <w:szCs w:val="18"/>
              </w:rPr>
            </w:r>
          </w:p>
          <w:p>
            <w:pPr>
              <w:pStyle w:val="Normal"/>
              <w:widowControl w:val="false"/>
              <w:spacing w:lineRule="auto" w:line="276" w:before="0" w:after="120"/>
              <w:ind w:left="113" w:hanging="0"/>
              <w:jc w:val="center"/>
              <w:rPr>
                <w:sz w:val="18"/>
                <w:szCs w:val="18"/>
              </w:rPr>
            </w:pPr>
            <w:r>
              <w:rPr>
                <w:color w:val="000000"/>
                <w:sz w:val="18"/>
                <w:szCs w:val="18"/>
              </w:rPr>
              <w:t>12</w:t>
            </w:r>
          </w:p>
        </w:tc>
        <w:tc>
          <w:tcPr>
            <w:tcW w:w="12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rPr>
            </w:pPr>
            <w:r>
              <w:rPr>
                <w:color w:val="000000"/>
                <w:sz w:val="18"/>
                <w:szCs w:val="18"/>
              </w:rPr>
              <w:t xml:space="preserve">   </w:t>
            </w:r>
          </w:p>
          <w:p>
            <w:pPr>
              <w:pStyle w:val="Normal"/>
              <w:ind w:left="-15" w:right="-50" w:hanging="0"/>
              <w:jc w:val="center"/>
              <w:rPr>
                <w:color w:val="000000"/>
              </w:rPr>
            </w:pPr>
            <w:r>
              <w:rPr>
                <w:color w:val="000000"/>
                <w:sz w:val="18"/>
                <w:szCs w:val="18"/>
              </w:rPr>
              <w:t>2,72</w:t>
            </w:r>
          </w:p>
        </w:tc>
        <w:tc>
          <w:tcPr>
            <w:tcW w:w="141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b/>
                <w:bCs/>
                <w:color w:val="000000"/>
                <w:sz w:val="18"/>
                <w:szCs w:val="18"/>
              </w:rPr>
              <w:t>32,64</w:t>
            </w:r>
          </w:p>
        </w:tc>
        <w:tc>
          <w:tcPr>
            <w:tcW w:w="113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sz w:val="18"/>
                <w:szCs w:val="18"/>
              </w:rPr>
            </w:pPr>
            <w:r>
              <w:rPr>
                <w:color w:val="000000"/>
                <w:sz w:val="18"/>
                <w:szCs w:val="18"/>
              </w:rPr>
            </w:r>
          </w:p>
          <w:p>
            <w:pPr>
              <w:pStyle w:val="Normal"/>
              <w:widowControl w:val="false"/>
              <w:spacing w:lineRule="auto" w:line="276" w:before="0" w:after="120"/>
              <w:jc w:val="center"/>
              <w:rPr>
                <w:color w:val="000000"/>
                <w:sz w:val="18"/>
                <w:szCs w:val="18"/>
              </w:rPr>
            </w:pPr>
            <w:r>
              <w:rPr>
                <w:color w:val="000000"/>
                <w:sz w:val="18"/>
                <w:szCs w:val="18"/>
              </w:rPr>
            </w:r>
          </w:p>
          <w:p>
            <w:pPr>
              <w:pStyle w:val="Normal"/>
              <w:widowControl w:val="false"/>
              <w:spacing w:lineRule="auto" w:line="276" w:before="0" w:after="120"/>
              <w:jc w:val="center"/>
              <w:rPr>
                <w:color w:val="000000"/>
              </w:rPr>
            </w:pPr>
            <w:r>
              <w:rPr>
                <w:color w:val="000000"/>
                <w:sz w:val="18"/>
                <w:szCs w:val="18"/>
              </w:rPr>
              <w:t xml:space="preserve"> </w:t>
            </w:r>
            <w:r>
              <w:rPr>
                <w:color w:val="000000"/>
              </w:rPr>
              <w:t>0,01</w:t>
            </w:r>
            <w:r>
              <w:rPr>
                <w:color w:val="000000"/>
                <w:sz w:val="18"/>
                <w:szCs w:val="18"/>
              </w:rPr>
              <w:t>%</w:t>
            </w:r>
          </w:p>
        </w:tc>
      </w:tr>
      <w:tr>
        <w:trPr/>
        <w:tc>
          <w:tcPr>
            <w:tcW w:w="6833" w:type="dxa"/>
            <w:gridSpan w:val="6"/>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color w:val="000000"/>
              </w:rPr>
            </w:pPr>
            <w:r>
              <w:rPr>
                <w:b/>
                <w:bCs/>
                <w:color w:val="000000"/>
              </w:rPr>
              <w:t>Valor Total Estimado SEM Desconto R$</w:t>
            </w:r>
          </w:p>
        </w:tc>
        <w:tc>
          <w:tcPr>
            <w:tcW w:w="2549"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ind w:left="-15" w:right="-50" w:hanging="0"/>
              <w:jc w:val="center"/>
              <w:rPr>
                <w:color w:val="000000"/>
              </w:rPr>
            </w:pPr>
            <w:r>
              <w:rPr>
                <w:b/>
                <w:bCs/>
                <w:color w:val="000000"/>
              </w:rPr>
              <w:t>326.164,44</w:t>
            </w:r>
          </w:p>
          <w:p>
            <w:pPr>
              <w:pStyle w:val="Normal"/>
              <w:ind w:left="-15" w:right="-50" w:hanging="0"/>
              <w:jc w:val="center"/>
              <w:rPr>
                <w:color w:val="000000"/>
                <w:sz w:val="18"/>
                <w:szCs w:val="18"/>
              </w:rPr>
            </w:pPr>
            <w:r>
              <w:rPr>
                <w:color w:val="000000"/>
                <w:sz w:val="18"/>
                <w:szCs w:val="18"/>
              </w:rPr>
            </w:r>
          </w:p>
        </w:tc>
      </w:tr>
      <w:tr>
        <w:trPr/>
        <w:tc>
          <w:tcPr>
            <w:tcW w:w="9382" w:type="dxa"/>
            <w:gridSpan w:val="8"/>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r>
              <w:rPr>
                <w:b/>
                <w:sz w:val="18"/>
                <w:szCs w:val="18"/>
              </w:rPr>
              <w:t>Endereço e contatos para a prestação dos serviços</w:t>
            </w:r>
            <w:r>
              <w:rPr>
                <w:sz w:val="18"/>
                <w:szCs w:val="18"/>
              </w:rPr>
              <w:t xml:space="preserve">: Rodovia PE 647, km 22, N4, Projeto Senador Nilo Coelho - Petrolina – PE, CEP: 56.302.970 - (087) 2101-8050 / Ramal 8056 E-mail: </w:t>
            </w:r>
            <w:hyperlink r:id="rId3">
              <w:r>
                <w:rPr>
                  <w:rStyle w:val="LinkdaInternet"/>
                  <w:color w:val="0000FF"/>
                  <w:sz w:val="18"/>
                  <w:szCs w:val="18"/>
                  <w:u w:val="single"/>
                </w:rPr>
                <w:t>cpzr.cpl@ifsertao-pe.edu.br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 xml:space="preserve">Obs. 01: Os valores dos itens 07 e 08 representam as estimativas de gastos com combustíveis, </w:t>
      </w:r>
      <w:r>
        <w:rPr>
          <w:b/>
          <w:sz w:val="18"/>
          <w:szCs w:val="18"/>
        </w:rPr>
        <w:t xml:space="preserve">Arla 32, </w:t>
      </w:r>
      <w:r>
        <w:rPr>
          <w:b/>
          <w:color w:val="000000"/>
          <w:sz w:val="18"/>
          <w:szCs w:val="18"/>
        </w:rPr>
        <w:t xml:space="preserve">lubrificantes, peças, serviços e manutenções para o período de 12(doze) meses. No caso do item 09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highlight w:val="yellow"/>
        </w:rPr>
      </w:pPr>
      <w:r>
        <w:rPr>
          <w:b/>
          <w:color w:val="000000"/>
          <w:sz w:val="18"/>
          <w:szCs w:val="18"/>
          <w:highlight w:val="yellow"/>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07 e 08 será aplicado diretamente sobre os valores das faturas dos fornecimentos e serviços prestados pela rede credenciada/conveniada da empresa administradora.</w:t>
      </w:r>
    </w:p>
    <w:p>
      <w:pPr>
        <w:pStyle w:val="Normal"/>
        <w:widowControl w:val="false"/>
        <w:spacing w:lineRule="auto" w:line="276" w:before="0" w:after="120"/>
        <w:jc w:val="both"/>
        <w:rPr/>
      </w:pPr>
      <w:r>
        <w:rPr/>
      </w:r>
    </w:p>
    <w:tbl>
      <w:tblPr>
        <w:tblW w:w="9383" w:type="dxa"/>
        <w:jc w:val="center"/>
        <w:tblInd w:w="0" w:type="dxa"/>
        <w:tblCellMar>
          <w:top w:w="0" w:type="dxa"/>
          <w:left w:w="98" w:type="dxa"/>
          <w:bottom w:w="0" w:type="dxa"/>
          <w:right w:w="108" w:type="dxa"/>
        </w:tblCellMar>
        <w:tblLook w:firstRow="0" w:noVBand="1" w:lastRow="0" w:firstColumn="0" w:lastColumn="0" w:noHBand="0" w:val="0400"/>
      </w:tblPr>
      <w:tblGrid>
        <w:gridCol w:w="523"/>
        <w:gridCol w:w="3172"/>
        <w:gridCol w:w="744"/>
        <w:gridCol w:w="1132"/>
        <w:gridCol w:w="1272"/>
        <w:gridCol w:w="1414"/>
        <w:gridCol w:w="1125"/>
      </w:tblGrid>
      <w:tr>
        <w:trPr/>
        <w:tc>
          <w:tcPr>
            <w:tcW w:w="9382" w:type="dxa"/>
            <w:gridSpan w:val="7"/>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245" w:right="-197" w:hanging="0"/>
              <w:jc w:val="center"/>
              <w:rPr>
                <w:b/>
                <w:b/>
                <w:sz w:val="22"/>
                <w:szCs w:val="22"/>
              </w:rPr>
            </w:pPr>
            <w:r>
              <w:rPr>
                <w:b/>
                <w:sz w:val="22"/>
                <w:szCs w:val="22"/>
              </w:rPr>
              <w:t xml:space="preserve">GRUPO 04 (Campus Floresta/IF SERTÃO – PE – UASG 158500) </w:t>
            </w:r>
          </w:p>
          <w:p>
            <w:pPr>
              <w:pStyle w:val="Normal"/>
              <w:widowControl w:val="false"/>
              <w:ind w:left="-104" w:right="-81" w:hanging="0"/>
              <w:jc w:val="center"/>
              <w:rPr>
                <w:b/>
                <w:b/>
                <w:sz w:val="18"/>
                <w:szCs w:val="18"/>
              </w:rPr>
            </w:pPr>
            <w:r>
              <w:rPr>
                <w:b/>
                <w:sz w:val="18"/>
                <w:szCs w:val="18"/>
              </w:rPr>
            </w:r>
          </w:p>
        </w:tc>
      </w:tr>
      <w:tr>
        <w:trPr/>
        <w:tc>
          <w:tcPr>
            <w:tcW w:w="52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Item</w:t>
            </w:r>
          </w:p>
          <w:p>
            <w:pPr>
              <w:pStyle w:val="Normal"/>
              <w:widowControl w:val="false"/>
              <w:ind w:left="-107" w:right="-133" w:hanging="0"/>
              <w:jc w:val="center"/>
              <w:rPr>
                <w:b/>
                <w:b/>
                <w:sz w:val="16"/>
                <w:szCs w:val="16"/>
              </w:rPr>
            </w:pPr>
            <w:r>
              <w:rPr>
                <w:b/>
                <w:sz w:val="16"/>
                <w:szCs w:val="16"/>
              </w:rPr>
            </w:r>
          </w:p>
        </w:tc>
        <w:tc>
          <w:tcPr>
            <w:tcW w:w="3172"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07" w:right="-133" w:hanging="0"/>
              <w:jc w:val="center"/>
              <w:rPr>
                <w:b/>
                <w:b/>
                <w:sz w:val="16"/>
                <w:szCs w:val="16"/>
              </w:rPr>
            </w:pPr>
            <w:r>
              <w:rPr>
                <w:b/>
                <w:sz w:val="16"/>
                <w:szCs w:val="16"/>
              </w:rPr>
              <w:t>Descrição/</w:t>
            </w:r>
          </w:p>
          <w:p>
            <w:pPr>
              <w:pStyle w:val="Normal"/>
              <w:widowControl w:val="false"/>
              <w:ind w:left="-107" w:right="-133" w:hanging="0"/>
              <w:jc w:val="center"/>
              <w:rPr>
                <w:b/>
                <w:b/>
                <w:sz w:val="16"/>
                <w:szCs w:val="16"/>
              </w:rPr>
            </w:pPr>
            <w:r>
              <w:rPr>
                <w:b/>
                <w:sz w:val="16"/>
                <w:szCs w:val="16"/>
              </w:rPr>
              <w:t>Especificação</w:t>
            </w:r>
          </w:p>
        </w:tc>
        <w:tc>
          <w:tcPr>
            <w:tcW w:w="74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Unidade </w:t>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2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2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10</w:t>
            </w:r>
          </w:p>
        </w:tc>
        <w:tc>
          <w:tcPr>
            <w:tcW w:w="317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6.382,27</w:t>
            </w:r>
          </w:p>
        </w:tc>
        <w:tc>
          <w:tcPr>
            <w:tcW w:w="14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76.587,24</w:t>
            </w:r>
          </w:p>
        </w:tc>
        <w:tc>
          <w:tcPr>
            <w:tcW w:w="112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2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11</w:t>
            </w:r>
          </w:p>
        </w:tc>
        <w:tc>
          <w:tcPr>
            <w:tcW w:w="317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3.063,75</w:t>
            </w:r>
          </w:p>
        </w:tc>
        <w:tc>
          <w:tcPr>
            <w:tcW w:w="14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36.765,00</w:t>
            </w:r>
          </w:p>
        </w:tc>
        <w:tc>
          <w:tcPr>
            <w:tcW w:w="112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2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3172"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sz w:val="18"/>
                <w:szCs w:val="18"/>
              </w:rPr>
            </w:pPr>
            <w:r>
              <w:rPr>
                <w:b/>
                <w:sz w:val="18"/>
                <w:szCs w:val="18"/>
              </w:rPr>
            </w:r>
          </w:p>
        </w:tc>
        <w:tc>
          <w:tcPr>
            <w:tcW w:w="74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2"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sz w:val="18"/>
                <w:szCs w:val="18"/>
              </w:rPr>
            </w:pPr>
            <w:r>
              <w:rPr>
                <w:b/>
                <w:sz w:val="18"/>
                <w:szCs w:val="18"/>
              </w:rPr>
            </w:r>
          </w:p>
        </w:tc>
        <w:tc>
          <w:tcPr>
            <w:tcW w:w="141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sz w:val="18"/>
                <w:szCs w:val="18"/>
              </w:rPr>
            </w:pPr>
            <w:r>
              <w:rPr>
                <w:b/>
                <w:sz w:val="18"/>
                <w:szCs w:val="18"/>
              </w:rPr>
            </w:r>
          </w:p>
        </w:tc>
        <w:tc>
          <w:tcPr>
            <w:tcW w:w="112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2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12</w:t>
            </w:r>
          </w:p>
        </w:tc>
        <w:tc>
          <w:tcPr>
            <w:tcW w:w="317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sz w:val="18"/>
                <w:szCs w:val="18"/>
              </w:rPr>
            </w:pPr>
            <w:r>
              <w:rPr>
                <w:sz w:val="18"/>
                <w:szCs w:val="18"/>
              </w:rPr>
            </w:r>
          </w:p>
          <w:p>
            <w:pPr>
              <w:pStyle w:val="Normal"/>
              <w:widowControl w:val="false"/>
              <w:spacing w:lineRule="auto" w:line="276" w:before="0" w:after="120"/>
              <w:ind w:left="113" w:hanging="0"/>
              <w:jc w:val="center"/>
              <w:rPr>
                <w:sz w:val="18"/>
                <w:szCs w:val="18"/>
              </w:rPr>
            </w:pPr>
            <w:r>
              <w:rPr>
                <w:sz w:val="18"/>
                <w:szCs w:val="18"/>
              </w:rPr>
              <w:t>12</w:t>
            </w:r>
          </w:p>
        </w:tc>
        <w:tc>
          <w:tcPr>
            <w:tcW w:w="12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rPr>
            </w:pPr>
            <w:r>
              <w:rPr>
                <w:color w:val="000000"/>
                <w:sz w:val="18"/>
                <w:szCs w:val="18"/>
              </w:rPr>
              <w:t>*0,94</w:t>
            </w:r>
          </w:p>
        </w:tc>
        <w:tc>
          <w:tcPr>
            <w:tcW w:w="141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b/>
                <w:bCs/>
                <w:color w:val="000000"/>
                <w:sz w:val="18"/>
                <w:szCs w:val="18"/>
              </w:rPr>
              <w:t>11,28</w:t>
            </w:r>
          </w:p>
        </w:tc>
        <w:tc>
          <w:tcPr>
            <w:tcW w:w="11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sz w:val="18"/>
                <w:szCs w:val="18"/>
              </w:rPr>
            </w:pPr>
            <w:r>
              <w:rPr>
                <w:color w:val="000000"/>
                <w:sz w:val="18"/>
                <w:szCs w:val="18"/>
              </w:rPr>
            </w:r>
          </w:p>
          <w:p>
            <w:pPr>
              <w:pStyle w:val="Normal"/>
              <w:widowControl w:val="false"/>
              <w:spacing w:lineRule="auto" w:line="276" w:before="0" w:after="120"/>
              <w:jc w:val="center"/>
              <w:rPr>
                <w:color w:val="000000"/>
              </w:rPr>
            </w:pPr>
            <w:r>
              <w:rPr>
                <w:color w:val="000000"/>
              </w:rPr>
              <w:t>0,01</w:t>
            </w:r>
            <w:r>
              <w:rPr>
                <w:color w:val="000000"/>
                <w:sz w:val="18"/>
                <w:szCs w:val="18"/>
              </w:rPr>
              <w:t>%</w:t>
            </w:r>
          </w:p>
          <w:p>
            <w:pPr>
              <w:pStyle w:val="Normal"/>
              <w:widowControl w:val="false"/>
              <w:spacing w:lineRule="auto" w:line="276" w:before="0" w:after="120"/>
              <w:jc w:val="center"/>
              <w:rPr>
                <w:color w:val="000000"/>
                <w:sz w:val="18"/>
                <w:szCs w:val="18"/>
              </w:rPr>
            </w:pPr>
            <w:r>
              <w:rPr>
                <w:color w:val="000000"/>
                <w:sz w:val="18"/>
                <w:szCs w:val="18"/>
              </w:rPr>
            </w:r>
          </w:p>
        </w:tc>
      </w:tr>
      <w:tr>
        <w:trPr/>
        <w:tc>
          <w:tcPr>
            <w:tcW w:w="6843"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color w:val="000000"/>
              </w:rPr>
            </w:pPr>
            <w:r>
              <w:rPr>
                <w:b/>
                <w:bCs/>
                <w:color w:val="000000"/>
              </w:rPr>
              <w:t>Valor Total Estimado SEM Desconto R$</w:t>
            </w:r>
          </w:p>
        </w:tc>
        <w:tc>
          <w:tcPr>
            <w:tcW w:w="2539"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rPr>
              <w:t>113.363,52</w:t>
            </w:r>
          </w:p>
        </w:tc>
      </w:tr>
      <w:tr>
        <w:trPr/>
        <w:tc>
          <w:tcPr>
            <w:tcW w:w="9382"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r>
              <w:rPr>
                <w:b/>
                <w:sz w:val="18"/>
                <w:szCs w:val="18"/>
              </w:rPr>
              <w:t>Endereço e contatos para a prestação dos serviços</w:t>
            </w:r>
            <w:r>
              <w:rPr>
                <w:sz w:val="18"/>
                <w:szCs w:val="18"/>
              </w:rPr>
              <w:t>: Rua Projetada, S/N, Caetano II – N4,</w:t>
              <w:br/>
              <w:t xml:space="preserve">CEP: 56400-000 | Floresta/PE. Telefone: (87) 3877-2825/1104 – Email: </w:t>
            </w:r>
            <w:hyperlink r:id="rId4">
              <w:r>
                <w:rPr>
                  <w:rStyle w:val="LinkdaInternet"/>
                  <w:color w:val="0000FF"/>
                  <w:sz w:val="18"/>
                  <w:szCs w:val="18"/>
                  <w:u w:val="single"/>
                </w:rPr>
                <w:t>cf.dap@ifsertao-pe.edu.br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sz w:val="18"/>
          <w:szCs w:val="18"/>
        </w:rPr>
      </w:pPr>
      <w:r>
        <w:rPr>
          <w:color w:val="000000"/>
          <w:sz w:val="18"/>
          <w:szCs w:val="18"/>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01: Os valores dos itens 10 e 11 representam as estimativas de gastos com</w:t>
      </w:r>
      <w:r>
        <w:rPr>
          <w:b/>
          <w:color w:val="000000"/>
        </w:rPr>
        <w:t xml:space="preserve"> </w:t>
      </w:r>
      <w:r>
        <w:rPr>
          <w:b/>
          <w:color w:val="000000"/>
          <w:sz w:val="18"/>
          <w:szCs w:val="18"/>
        </w:rPr>
        <w:t xml:space="preserve">combustíveis, </w:t>
      </w:r>
      <w:r>
        <w:rPr>
          <w:b/>
          <w:sz w:val="18"/>
          <w:szCs w:val="18"/>
        </w:rPr>
        <w:t xml:space="preserve">Arla 32, </w:t>
      </w:r>
      <w:r>
        <w:rPr>
          <w:b/>
          <w:color w:val="000000"/>
          <w:sz w:val="18"/>
          <w:szCs w:val="18"/>
        </w:rPr>
        <w:t xml:space="preserve">lubrificantes, peças, serviços e manutenções para o período de 12(doze) meses. No caso do item 12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highlight w:val="yellow"/>
        </w:rPr>
      </w:pPr>
      <w:r>
        <w:rPr>
          <w:b/>
          <w:color w:val="000000"/>
          <w:sz w:val="18"/>
          <w:szCs w:val="18"/>
          <w:highlight w:val="yellow"/>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10 e 11 será aplicado diretamente sobre os valores das faturas dos fornecimentos e serviços prestados pela rede credenciada/conveniada da empresa administradora.</w:t>
      </w:r>
    </w:p>
    <w:p>
      <w:pPr>
        <w:pStyle w:val="Normal"/>
        <w:ind w:left="360" w:hanging="0"/>
        <w:rPr>
          <w:color w:val="000000"/>
        </w:rPr>
      </w:pPr>
      <w:r>
        <w:rPr>
          <w:color w:val="000000"/>
        </w:rPr>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9383" w:type="dxa"/>
        <w:jc w:val="center"/>
        <w:tblInd w:w="0" w:type="dxa"/>
        <w:tblCellMar>
          <w:top w:w="0" w:type="dxa"/>
          <w:left w:w="98" w:type="dxa"/>
          <w:bottom w:w="0" w:type="dxa"/>
          <w:right w:w="108" w:type="dxa"/>
        </w:tblCellMar>
        <w:tblLook w:firstRow="0" w:noVBand="1" w:lastRow="0" w:firstColumn="0" w:lastColumn="0" w:noHBand="0" w:val="0400"/>
      </w:tblPr>
      <w:tblGrid>
        <w:gridCol w:w="547"/>
        <w:gridCol w:w="3166"/>
        <w:gridCol w:w="711"/>
        <w:gridCol w:w="1133"/>
        <w:gridCol w:w="1275"/>
        <w:gridCol w:w="1418"/>
        <w:gridCol w:w="1132"/>
      </w:tblGrid>
      <w:tr>
        <w:trPr/>
        <w:tc>
          <w:tcPr>
            <w:tcW w:w="9382" w:type="dxa"/>
            <w:gridSpan w:val="7"/>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197" w:hanging="0"/>
              <w:jc w:val="center"/>
              <w:rPr>
                <w:b/>
                <w:b/>
                <w:sz w:val="22"/>
                <w:szCs w:val="22"/>
              </w:rPr>
            </w:pPr>
            <w:r>
              <w:rPr>
                <w:b/>
                <w:sz w:val="22"/>
                <w:szCs w:val="22"/>
              </w:rPr>
              <w:t>GRUPO 05 (Campus Salgueiro/IF SERTÃO – PE – UASG 158568</w:t>
            </w:r>
          </w:p>
          <w:p>
            <w:pPr>
              <w:pStyle w:val="Normal"/>
              <w:widowControl w:val="false"/>
              <w:ind w:left="-104" w:right="-81" w:hanging="0"/>
              <w:jc w:val="center"/>
              <w:rPr>
                <w:b/>
                <w:b/>
                <w:sz w:val="18"/>
                <w:szCs w:val="18"/>
              </w:rPr>
            </w:pPr>
            <w:r>
              <w:rPr>
                <w:b/>
                <w:sz w:val="18"/>
                <w:szCs w:val="18"/>
              </w:rPr>
            </w:r>
          </w:p>
        </w:tc>
      </w:tr>
      <w:tr>
        <w:trPr/>
        <w:tc>
          <w:tcPr>
            <w:tcW w:w="54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66"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1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4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13</w:t>
            </w:r>
          </w:p>
        </w:tc>
        <w:tc>
          <w:tcPr>
            <w:tcW w:w="316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1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 xml:space="preserve">Mês </w:t>
            </w:r>
          </w:p>
        </w:tc>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sz w:val="18"/>
                <w:szCs w:val="18"/>
              </w:rPr>
            </w:pPr>
            <w:r>
              <w:rPr>
                <w:color w:val="000000"/>
                <w:sz w:val="18"/>
                <w:szCs w:val="18"/>
              </w:rPr>
            </w:r>
          </w:p>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color w:val="000000"/>
                <w:sz w:val="18"/>
                <w:szCs w:val="18"/>
              </w:rPr>
              <w:t>12</w:t>
            </w:r>
          </w:p>
        </w:tc>
        <w:tc>
          <w:tcPr>
            <w:tcW w:w="12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11.234,58</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134.814,96</w:t>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3,49%</w:t>
            </w:r>
          </w:p>
          <w:p>
            <w:pPr>
              <w:pStyle w:val="Normal"/>
              <w:widowControl w:val="false"/>
              <w:spacing w:lineRule="auto" w:line="276"/>
              <w:rPr>
                <w:sz w:val="18"/>
                <w:szCs w:val="18"/>
              </w:rPr>
            </w:pPr>
            <w:r>
              <w:rPr>
                <w:sz w:val="18"/>
                <w:szCs w:val="18"/>
              </w:rPr>
            </w:r>
          </w:p>
        </w:tc>
      </w:tr>
      <w:tr>
        <w:trPr/>
        <w:tc>
          <w:tcPr>
            <w:tcW w:w="54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14</w:t>
            </w:r>
          </w:p>
        </w:tc>
        <w:tc>
          <w:tcPr>
            <w:tcW w:w="316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1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 xml:space="preserve">Mês </w:t>
            </w:r>
          </w:p>
        </w:tc>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sz w:val="18"/>
                <w:szCs w:val="18"/>
              </w:rPr>
            </w:pPr>
            <w:r>
              <w:rPr>
                <w:color w:val="000000"/>
                <w:sz w:val="18"/>
                <w:szCs w:val="18"/>
              </w:rPr>
            </w:r>
          </w:p>
          <w:p>
            <w:pPr>
              <w:pStyle w:val="Normal"/>
              <w:widowControl w:val="false"/>
              <w:spacing w:lineRule="auto" w:line="276"/>
              <w:rPr>
                <w:sz w:val="18"/>
                <w:szCs w:val="18"/>
              </w:rPr>
            </w:pPr>
            <w:r>
              <w:rPr>
                <w:color w:val="000000"/>
                <w:sz w:val="18"/>
                <w:szCs w:val="18"/>
              </w:rPr>
              <w:t>12</w:t>
            </w:r>
          </w:p>
        </w:tc>
        <w:tc>
          <w:tcPr>
            <w:tcW w:w="12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4.675,42</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sz w:val="18"/>
                <w:szCs w:val="18"/>
              </w:rPr>
            </w:pPr>
            <w:r>
              <w:rPr>
                <w:sz w:val="18"/>
                <w:szCs w:val="18"/>
              </w:rPr>
              <w:t xml:space="preserve">                               </w:t>
            </w:r>
            <w:r>
              <w:rPr>
                <w:sz w:val="18"/>
                <w:szCs w:val="18"/>
              </w:rPr>
              <w:t xml:space="preserve">56.105,04       </w:t>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7,00%</w:t>
            </w:r>
          </w:p>
        </w:tc>
      </w:tr>
      <w:tr>
        <w:trPr/>
        <w:tc>
          <w:tcPr>
            <w:tcW w:w="54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3166"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sz w:val="18"/>
                <w:szCs w:val="18"/>
              </w:rPr>
            </w:pPr>
            <w:r>
              <w:rPr>
                <w:b/>
                <w:sz w:val="18"/>
                <w:szCs w:val="18"/>
              </w:rPr>
            </w:r>
          </w:p>
        </w:tc>
        <w:tc>
          <w:tcPr>
            <w:tcW w:w="71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sz w:val="18"/>
                <w:szCs w:val="18"/>
              </w:rPr>
            </w:pPr>
            <w:r>
              <w:rPr>
                <w:b/>
                <w:sz w:val="18"/>
                <w:szCs w:val="18"/>
              </w:rPr>
            </w:r>
          </w:p>
        </w:tc>
        <w:tc>
          <w:tcPr>
            <w:tcW w:w="141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sz w:val="18"/>
                <w:szCs w:val="18"/>
              </w:rPr>
            </w:pPr>
            <w:r>
              <w:rPr>
                <w:b/>
                <w:sz w:val="18"/>
                <w:szCs w:val="18"/>
              </w:rPr>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4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15</w:t>
            </w:r>
          </w:p>
        </w:tc>
        <w:tc>
          <w:tcPr>
            <w:tcW w:w="316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1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sz w:val="18"/>
                <w:szCs w:val="18"/>
              </w:rPr>
            </w:pPr>
            <w:r>
              <w:rPr>
                <w:sz w:val="18"/>
                <w:szCs w:val="18"/>
              </w:rPr>
            </w:r>
          </w:p>
          <w:p>
            <w:pPr>
              <w:pStyle w:val="Normal"/>
              <w:widowControl w:val="false"/>
              <w:spacing w:lineRule="auto" w:line="276" w:before="0" w:after="120"/>
              <w:ind w:left="113" w:hanging="0"/>
              <w:jc w:val="center"/>
              <w:rPr>
                <w:sz w:val="18"/>
                <w:szCs w:val="18"/>
              </w:rPr>
            </w:pPr>
            <w:r>
              <w:rPr>
                <w:color w:val="000000"/>
                <w:sz w:val="18"/>
                <w:szCs w:val="18"/>
              </w:rPr>
              <w:t>12</w:t>
            </w:r>
          </w:p>
        </w:tc>
        <w:tc>
          <w:tcPr>
            <w:tcW w:w="12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rPr>
            </w:pPr>
            <w:r>
              <w:rPr>
                <w:color w:val="000000"/>
                <w:sz w:val="18"/>
                <w:szCs w:val="18"/>
              </w:rPr>
              <w:t>1,59</w:t>
            </w:r>
          </w:p>
        </w:tc>
        <w:tc>
          <w:tcPr>
            <w:tcW w:w="141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b/>
                <w:bCs/>
                <w:color w:val="000000"/>
                <w:sz w:val="18"/>
                <w:szCs w:val="18"/>
              </w:rPr>
              <w:t>19,08</w:t>
            </w:r>
          </w:p>
        </w:tc>
        <w:tc>
          <w:tcPr>
            <w:tcW w:w="113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t>0,01</w:t>
            </w:r>
            <w:r>
              <w:rPr>
                <w:sz w:val="18"/>
                <w:szCs w:val="18"/>
              </w:rPr>
              <w:t>%</w:t>
            </w:r>
          </w:p>
          <w:p>
            <w:pPr>
              <w:pStyle w:val="Normal"/>
              <w:widowControl w:val="false"/>
              <w:spacing w:lineRule="auto" w:line="276" w:before="0" w:after="120"/>
              <w:jc w:val="center"/>
              <w:rPr>
                <w:sz w:val="18"/>
                <w:szCs w:val="18"/>
              </w:rPr>
            </w:pPr>
            <w:r>
              <w:rPr>
                <w:sz w:val="18"/>
                <w:szCs w:val="18"/>
              </w:rPr>
            </w:r>
          </w:p>
        </w:tc>
      </w:tr>
      <w:tr>
        <w:trPr/>
        <w:tc>
          <w:tcPr>
            <w:tcW w:w="6832"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color w:val="000000"/>
              </w:rPr>
            </w:pPr>
            <w:r>
              <w:rPr>
                <w:b/>
                <w:bCs/>
                <w:color w:val="000000"/>
              </w:rPr>
              <w:t>Valor Total Estimado SEM Desconto R$</w:t>
            </w:r>
          </w:p>
        </w:tc>
        <w:tc>
          <w:tcPr>
            <w:tcW w:w="2550"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sz w:val="18"/>
                <w:szCs w:val="18"/>
              </w:rPr>
              <w:t>190.939,08</w:t>
            </w:r>
          </w:p>
        </w:tc>
      </w:tr>
      <w:tr>
        <w:trPr/>
        <w:tc>
          <w:tcPr>
            <w:tcW w:w="9382"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r>
              <w:rPr>
                <w:b/>
                <w:sz w:val="18"/>
                <w:szCs w:val="18"/>
              </w:rPr>
              <w:t>Endereço e contatos para a prestação dos serviços</w:t>
            </w:r>
            <w:r>
              <w:rPr>
                <w:sz w:val="18"/>
                <w:szCs w:val="18"/>
              </w:rPr>
              <w:t>: BR 232, Km 508, sentido Recife, Zona Rural,</w:t>
              <w:br/>
              <w:t xml:space="preserve">CEP: 56000-000 | Salgueiro/PE. Telefone: (87) 3421-0050. </w:t>
            </w:r>
            <w:r>
              <w:rPr>
                <w:color w:val="000000"/>
                <w:sz w:val="18"/>
                <w:szCs w:val="18"/>
              </w:rPr>
              <w:t xml:space="preserve">E-mail: </w:t>
            </w:r>
            <w:hyperlink r:id="rId5">
              <w:r>
                <w:rPr>
                  <w:rStyle w:val="LinkdaInternet"/>
                  <w:color w:val="000000"/>
                  <w:sz w:val="18"/>
                  <w:szCs w:val="18"/>
                  <w:u w:val="single"/>
                </w:rPr>
                <w:t>cs.cpl@ifsertao-pe.edu.br</w:t>
              </w:r>
            </w:hyperlink>
            <w:r>
              <w:rPr>
                <w:color w:val="000000"/>
                <w:sz w:val="18"/>
                <w:szCs w:val="18"/>
                <w:u w:val="single"/>
              </w:rPr>
              <w:t xml:space="preserve">  </w:t>
            </w:r>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01: Os valores dos itens 13 e 14 representam as estimativas de gastos com combustíveis, Arla 32, lubrificantes, peças, serviços e manutenções para o período de 12(doze) meses. No caso do item 15 o valor representa o mínimo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13 e 14 será aplicado diretamente sobre os valores das faturas dos fornecimentos e serviços prestados pela rede credenciada/conveniada da empresa administradora.</w:t>
      </w:r>
    </w:p>
    <w:p>
      <w:pPr>
        <w:pStyle w:val="Normal"/>
        <w:widowControl w:val="false"/>
        <w:ind w:left="360" w:right="-197"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ind w:left="360" w:right="-197"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tbl>
      <w:tblPr>
        <w:tblW w:w="9383" w:type="dxa"/>
        <w:jc w:val="center"/>
        <w:tblInd w:w="0" w:type="dxa"/>
        <w:tblCellMar>
          <w:top w:w="0" w:type="dxa"/>
          <w:left w:w="98" w:type="dxa"/>
          <w:bottom w:w="0" w:type="dxa"/>
          <w:right w:w="108" w:type="dxa"/>
        </w:tblCellMar>
        <w:tblLook w:firstRow="0" w:noVBand="1" w:lastRow="0" w:firstColumn="0" w:lastColumn="0" w:noHBand="0" w:val="0400"/>
      </w:tblPr>
      <w:tblGrid>
        <w:gridCol w:w="556"/>
        <w:gridCol w:w="3158"/>
        <w:gridCol w:w="710"/>
        <w:gridCol w:w="1134"/>
        <w:gridCol w:w="1274"/>
        <w:gridCol w:w="1"/>
        <w:gridCol w:w="1417"/>
        <w:gridCol w:w="1132"/>
      </w:tblGrid>
      <w:tr>
        <w:trPr/>
        <w:tc>
          <w:tcPr>
            <w:tcW w:w="9382" w:type="dxa"/>
            <w:gridSpan w:val="8"/>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197" w:hanging="0"/>
              <w:jc w:val="center"/>
              <w:rPr>
                <w:b/>
                <w:b/>
                <w:sz w:val="22"/>
                <w:szCs w:val="22"/>
              </w:rPr>
            </w:pPr>
            <w:r>
              <w:rPr>
                <w:b/>
                <w:sz w:val="22"/>
                <w:szCs w:val="22"/>
              </w:rPr>
              <w:t>GRUPO 06 (Campus Ouricuri/IF SERTÃO – PE – UASG 158570)</w:t>
            </w:r>
          </w:p>
          <w:p>
            <w:pPr>
              <w:pStyle w:val="Normal"/>
              <w:widowControl w:val="false"/>
              <w:ind w:left="-104" w:right="-81" w:hanging="0"/>
              <w:jc w:val="center"/>
              <w:rPr>
                <w:b/>
                <w:b/>
                <w:sz w:val="18"/>
                <w:szCs w:val="18"/>
              </w:rPr>
            </w:pPr>
            <w:r>
              <w:rPr>
                <w:b/>
                <w:sz w:val="18"/>
                <w:szCs w:val="18"/>
              </w:rPr>
            </w:r>
          </w:p>
        </w:tc>
      </w:tr>
      <w:tr>
        <w:trPr/>
        <w:tc>
          <w:tcPr>
            <w:tcW w:w="55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8"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1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 xml:space="preserve">Mínimo de Desconto </w:t>
            </w:r>
          </w:p>
          <w:p>
            <w:pPr>
              <w:pStyle w:val="Normal"/>
              <w:widowControl w:val="false"/>
              <w:ind w:left="-104" w:right="-81" w:hanging="0"/>
              <w:jc w:val="center"/>
              <w:rPr>
                <w:sz w:val="16"/>
                <w:szCs w:val="16"/>
              </w:rPr>
            </w:pPr>
            <w:r>
              <w:rPr>
                <w:b/>
                <w:sz w:val="16"/>
                <w:szCs w:val="16"/>
              </w:rPr>
              <w:t>(%)</w:t>
            </w:r>
          </w:p>
        </w:tc>
      </w:tr>
      <w:tr>
        <w:trPr>
          <w:trHeight w:val="1343" w:hRule="atLeast"/>
        </w:trPr>
        <w:tc>
          <w:tcPr>
            <w:tcW w:w="55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16</w:t>
            </w:r>
          </w:p>
        </w:tc>
        <w:tc>
          <w:tcPr>
            <w:tcW w:w="315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w:t>
            </w:r>
          </w:p>
        </w:tc>
        <w:tc>
          <w:tcPr>
            <w:tcW w:w="127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6.685,79</w:t>
            </w:r>
          </w:p>
        </w:tc>
        <w:tc>
          <w:tcPr>
            <w:tcW w:w="141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80.229,48</w:t>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5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17</w:t>
            </w:r>
          </w:p>
        </w:tc>
        <w:tc>
          <w:tcPr>
            <w:tcW w:w="315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4.466,67</w:t>
            </w:r>
          </w:p>
        </w:tc>
        <w:tc>
          <w:tcPr>
            <w:tcW w:w="141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53.600,04</w:t>
            </w:r>
          </w:p>
        </w:tc>
        <w:tc>
          <w:tcPr>
            <w:tcW w:w="11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5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sz w:val="16"/>
                <w:szCs w:val="16"/>
              </w:rPr>
            </w:pPr>
            <w:r>
              <w:rPr>
                <w:b/>
                <w:sz w:val="16"/>
                <w:szCs w:val="16"/>
              </w:rPr>
            </w:r>
          </w:p>
        </w:tc>
        <w:tc>
          <w:tcPr>
            <w:tcW w:w="3158"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sz w:val="16"/>
                <w:szCs w:val="16"/>
              </w:rPr>
            </w:pPr>
            <w:r>
              <w:rPr>
                <w:b/>
                <w:sz w:val="16"/>
                <w:szCs w:val="16"/>
              </w:rPr>
            </w:r>
          </w:p>
        </w:tc>
        <w:tc>
          <w:tcPr>
            <w:tcW w:w="71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sz w:val="16"/>
                <w:szCs w:val="16"/>
              </w:rPr>
            </w:pPr>
            <w:r>
              <w:rPr>
                <w:b/>
                <w:sz w:val="16"/>
                <w:szCs w:val="16"/>
              </w:rPr>
            </w:r>
          </w:p>
        </w:tc>
        <w:tc>
          <w:tcPr>
            <w:tcW w:w="113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sz w:val="16"/>
                <w:szCs w:val="16"/>
              </w:rPr>
            </w:pPr>
            <w:r>
              <w:rPr>
                <w:b/>
                <w:sz w:val="16"/>
                <w:szCs w:val="16"/>
              </w:rPr>
            </w:r>
          </w:p>
        </w:tc>
        <w:tc>
          <w:tcPr>
            <w:tcW w:w="1275"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sz w:val="16"/>
                <w:szCs w:val="16"/>
              </w:rPr>
            </w:pPr>
            <w:r>
              <w:rPr>
                <w:b/>
                <w:sz w:val="16"/>
                <w:szCs w:val="16"/>
              </w:rPr>
            </w:r>
          </w:p>
        </w:tc>
        <w:tc>
          <w:tcPr>
            <w:tcW w:w="141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sz w:val="16"/>
                <w:szCs w:val="16"/>
              </w:rPr>
            </w:pPr>
            <w:r>
              <w:rPr>
                <w:b/>
                <w:sz w:val="16"/>
                <w:szCs w:val="16"/>
              </w:rPr>
            </w:r>
          </w:p>
        </w:tc>
        <w:tc>
          <w:tcPr>
            <w:tcW w:w="113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5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18</w:t>
            </w:r>
          </w:p>
        </w:tc>
        <w:tc>
          <w:tcPr>
            <w:tcW w:w="315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sz w:val="18"/>
                <w:szCs w:val="18"/>
              </w:rPr>
            </w:pPr>
            <w:r>
              <w:rPr>
                <w:sz w:val="18"/>
                <w:szCs w:val="18"/>
              </w:rPr>
            </w:r>
          </w:p>
          <w:p>
            <w:pPr>
              <w:pStyle w:val="Normal"/>
              <w:widowControl w:val="false"/>
              <w:spacing w:lineRule="auto" w:line="276" w:before="0" w:after="120"/>
              <w:ind w:left="113" w:hanging="0"/>
              <w:jc w:val="center"/>
              <w:rPr>
                <w:sz w:val="18"/>
                <w:szCs w:val="18"/>
              </w:rPr>
            </w:pPr>
            <w:r>
              <w:rPr>
                <w:sz w:val="18"/>
                <w:szCs w:val="18"/>
              </w:rPr>
              <w:t>12</w:t>
            </w:r>
          </w:p>
        </w:tc>
        <w:tc>
          <w:tcPr>
            <w:tcW w:w="127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rPr>
            </w:pPr>
            <w:r>
              <w:rPr>
                <w:color w:val="000000"/>
                <w:sz w:val="18"/>
                <w:szCs w:val="18"/>
              </w:rPr>
              <w:t>*1,11</w:t>
            </w:r>
          </w:p>
        </w:tc>
        <w:tc>
          <w:tcPr>
            <w:tcW w:w="14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b/>
                <w:bCs/>
                <w:color w:val="000000"/>
                <w:sz w:val="18"/>
                <w:szCs w:val="18"/>
              </w:rPr>
              <w:t>13,32</w:t>
            </w:r>
          </w:p>
        </w:tc>
        <w:tc>
          <w:tcPr>
            <w:tcW w:w="113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sz w:val="18"/>
                <w:szCs w:val="18"/>
              </w:rPr>
            </w:pPr>
            <w:r>
              <w:rPr>
                <w:color w:val="000000"/>
                <w:sz w:val="18"/>
                <w:szCs w:val="18"/>
              </w:rPr>
            </w:r>
          </w:p>
          <w:p>
            <w:pPr>
              <w:pStyle w:val="Normal"/>
              <w:widowControl w:val="false"/>
              <w:spacing w:lineRule="auto" w:line="276" w:before="0" w:after="120"/>
              <w:jc w:val="center"/>
              <w:rPr>
                <w:color w:val="000000"/>
              </w:rPr>
            </w:pPr>
            <w:r>
              <w:rPr>
                <w:color w:val="000000"/>
                <w:sz w:val="18"/>
                <w:szCs w:val="18"/>
              </w:rPr>
              <w:t xml:space="preserve">   </w:t>
            </w:r>
            <w:r>
              <w:rPr>
                <w:color w:val="000000"/>
              </w:rPr>
              <w:t>0,01</w:t>
            </w:r>
            <w:r>
              <w:rPr>
                <w:color w:val="000000"/>
                <w:sz w:val="18"/>
                <w:szCs w:val="18"/>
              </w:rPr>
              <w:t>%</w:t>
            </w:r>
          </w:p>
          <w:p>
            <w:pPr>
              <w:pStyle w:val="Normal"/>
              <w:widowControl w:val="false"/>
              <w:spacing w:lineRule="auto" w:line="276" w:before="0" w:after="120"/>
              <w:jc w:val="center"/>
              <w:rPr>
                <w:color w:val="000000"/>
                <w:sz w:val="18"/>
                <w:szCs w:val="18"/>
              </w:rPr>
            </w:pPr>
            <w:r>
              <w:rPr>
                <w:color w:val="000000"/>
                <w:sz w:val="18"/>
                <w:szCs w:val="18"/>
              </w:rPr>
            </w:r>
          </w:p>
        </w:tc>
      </w:tr>
      <w:tr>
        <w:trPr/>
        <w:tc>
          <w:tcPr>
            <w:tcW w:w="6832"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sz w:val="18"/>
                <w:szCs w:val="18"/>
              </w:rPr>
            </w:pPr>
            <w:r>
              <w:rPr>
                <w:b/>
                <w:bCs/>
              </w:rPr>
              <w:t>Valor Total Estimado SEM Desconto R$</w:t>
            </w:r>
          </w:p>
        </w:tc>
        <w:tc>
          <w:tcPr>
            <w:tcW w:w="2550" w:type="dxa"/>
            <w:gridSpan w:val="3"/>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ind w:left="113" w:hanging="0"/>
              <w:jc w:val="center"/>
              <w:rPr>
                <w:color w:val="000000"/>
              </w:rPr>
            </w:pPr>
            <w:r>
              <w:rPr>
                <w:b/>
                <w:bCs/>
                <w:color w:val="000000"/>
              </w:rPr>
              <w:t>133.842,84</w:t>
            </w:r>
          </w:p>
        </w:tc>
      </w:tr>
      <w:tr>
        <w:trPr/>
        <w:tc>
          <w:tcPr>
            <w:tcW w:w="9382" w:type="dxa"/>
            <w:gridSpan w:val="8"/>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r>
              <w:rPr>
                <w:b/>
                <w:sz w:val="18"/>
                <w:szCs w:val="18"/>
              </w:rPr>
              <w:t>Endereço e contatos para a prestação dos serviços</w:t>
            </w:r>
            <w:r>
              <w:rPr>
                <w:sz w:val="18"/>
                <w:szCs w:val="18"/>
              </w:rPr>
              <w:t xml:space="preserve">: Estrada do Tamboril, S/N, CEP 56200-000, Ouricuri/PE. Telefones: (87) 98122-2215/98122-3778 – </w:t>
            </w:r>
            <w:r>
              <w:rPr>
                <w:b/>
                <w:color w:val="000000"/>
                <w:sz w:val="18"/>
                <w:szCs w:val="18"/>
              </w:rPr>
              <w:t xml:space="preserve">E-mail: </w:t>
            </w:r>
            <w:hyperlink r:id="rId6">
              <w:r>
                <w:rPr>
                  <w:rStyle w:val="LinkdaInternet"/>
                  <w:b/>
                  <w:color w:val="0000FF"/>
                  <w:sz w:val="18"/>
                  <w:szCs w:val="18"/>
                  <w:u w:val="single"/>
                </w:rPr>
                <w:t>co.licitacao@ifsertao-pe.edu.br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01: Os valores dos itens 16 e 17 representam as estimativas de gastos com combustíveis, Arla 32, lubrificantes, peças, serviços e manutenções para o período de 12(doze) meses. No caso do item 18 o valor representa o mínimo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highlight w:val="yellow"/>
        </w:rPr>
      </w:pPr>
      <w:r>
        <w:rPr>
          <w:b/>
          <w:color w:val="000000"/>
          <w:sz w:val="18"/>
          <w:szCs w:val="18"/>
          <w:highlight w:val="yellow"/>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16 e 17 será aplicado diretamente sobre os valores das faturas dos fornecimentos e serviços prestados pela rede credenciada/conveniada da empresa administradora.</w:t>
      </w:r>
    </w:p>
    <w:p>
      <w:pPr>
        <w:pStyle w:val="Normal"/>
        <w:ind w:left="360" w:hanging="0"/>
        <w:rPr>
          <w:color w:val="000000"/>
        </w:rPr>
      </w:pPr>
      <w:r>
        <w:rPr>
          <w:color w:val="000000"/>
        </w:rPr>
      </w:r>
    </w:p>
    <w:p>
      <w:pPr>
        <w:pStyle w:val="Normal"/>
        <w:widowControl w:val="false"/>
        <w:spacing w:lineRule="auto" w:line="276" w:before="0" w:after="120"/>
        <w:jc w:val="both"/>
        <w:rPr>
          <w:rFonts w:ascii="Times New Roman" w:hAnsi="Times New Roman" w:eastAsia="Times New Roman" w:cs="Times New Roman"/>
        </w:rPr>
      </w:pPr>
      <w:r>
        <w:rPr>
          <w:rFonts w:eastAsia="Times New Roman" w:cs="Times New Roman" w:ascii="Times New Roman" w:hAnsi="Times New Roman"/>
        </w:rPr>
      </w:r>
    </w:p>
    <w:tbl>
      <w:tblPr>
        <w:tblW w:w="9383" w:type="dxa"/>
        <w:jc w:val="center"/>
        <w:tblInd w:w="0" w:type="dxa"/>
        <w:tblCellMar>
          <w:top w:w="0" w:type="dxa"/>
          <w:left w:w="98" w:type="dxa"/>
          <w:bottom w:w="0" w:type="dxa"/>
          <w:right w:w="108" w:type="dxa"/>
        </w:tblCellMar>
        <w:tblLook w:firstRow="0" w:noVBand="1" w:lastRow="0" w:firstColumn="0" w:lastColumn="0" w:noHBand="0" w:val="0400"/>
      </w:tblPr>
      <w:tblGrid>
        <w:gridCol w:w="556"/>
        <w:gridCol w:w="3156"/>
        <w:gridCol w:w="699"/>
        <w:gridCol w:w="1002"/>
        <w:gridCol w:w="1278"/>
        <w:gridCol w:w="1416"/>
        <w:gridCol w:w="1275"/>
      </w:tblGrid>
      <w:tr>
        <w:trPr/>
        <w:tc>
          <w:tcPr>
            <w:tcW w:w="9382" w:type="dxa"/>
            <w:gridSpan w:val="7"/>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245" w:right="-197" w:hanging="0"/>
              <w:jc w:val="center"/>
              <w:rPr>
                <w:rFonts w:ascii="Times New Roman" w:hAnsi="Times New Roman" w:eastAsia="Times New Roman" w:cs="Times New Roman"/>
              </w:rPr>
            </w:pPr>
            <w:r>
              <w:rPr>
                <w:b/>
                <w:sz w:val="22"/>
                <w:szCs w:val="22"/>
              </w:rPr>
              <w:t xml:space="preserve">GRUPO 07 (Campus Santa Maria/IF SERTÃO – PE – UASG 158740) </w:t>
            </w:r>
          </w:p>
          <w:p>
            <w:pPr>
              <w:pStyle w:val="Normal"/>
              <w:widowControl w:val="false"/>
              <w:ind w:left="-104" w:right="-81" w:hanging="0"/>
              <w:jc w:val="center"/>
              <w:rPr>
                <w:b/>
                <w:b/>
                <w:sz w:val="18"/>
                <w:szCs w:val="18"/>
              </w:rPr>
            </w:pPr>
            <w:r>
              <w:rPr>
                <w:b/>
                <w:sz w:val="18"/>
                <w:szCs w:val="18"/>
              </w:rPr>
            </w:r>
          </w:p>
        </w:tc>
      </w:tr>
      <w:tr>
        <w:trPr/>
        <w:tc>
          <w:tcPr>
            <w:tcW w:w="55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6"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69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00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6"/>
                <w:szCs w:val="16"/>
              </w:rPr>
            </w:pPr>
            <w:r>
              <w:rPr>
                <w:b/>
                <w:sz w:val="16"/>
                <w:szCs w:val="16"/>
              </w:rPr>
              <w:t>Valor Mensal Estimado (R$)</w:t>
            </w:r>
          </w:p>
        </w:tc>
        <w:tc>
          <w:tcPr>
            <w:tcW w:w="141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2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5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19</w:t>
            </w:r>
          </w:p>
        </w:tc>
        <w:tc>
          <w:tcPr>
            <w:tcW w:w="315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6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0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w:t>
            </w:r>
          </w:p>
        </w:tc>
        <w:tc>
          <w:tcPr>
            <w:tcW w:w="127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5.745,05</w:t>
            </w:r>
          </w:p>
        </w:tc>
        <w:tc>
          <w:tcPr>
            <w:tcW w:w="14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68.940,60</w:t>
            </w:r>
          </w:p>
        </w:tc>
        <w:tc>
          <w:tcPr>
            <w:tcW w:w="12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5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20</w:t>
            </w:r>
          </w:p>
        </w:tc>
        <w:tc>
          <w:tcPr>
            <w:tcW w:w="315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6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0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rPr>
                <w:color w:val="000000"/>
              </w:rPr>
            </w:pPr>
            <w:r>
              <w:rPr>
                <w:color w:val="000000"/>
                <w:sz w:val="18"/>
                <w:szCs w:val="18"/>
              </w:rPr>
              <w:t>1.852,17</w:t>
            </w:r>
          </w:p>
        </w:tc>
        <w:tc>
          <w:tcPr>
            <w:tcW w:w="14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rPr>
                <w:color w:val="000000"/>
              </w:rPr>
            </w:pPr>
            <w:r>
              <w:rPr>
                <w:b/>
                <w:bCs/>
                <w:color w:val="000000"/>
                <w:sz w:val="18"/>
                <w:szCs w:val="18"/>
              </w:rPr>
              <w:t>22.226,04</w:t>
            </w:r>
          </w:p>
        </w:tc>
        <w:tc>
          <w:tcPr>
            <w:tcW w:w="12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rPr>
                <w:color w:val="000000"/>
              </w:rPr>
            </w:pPr>
            <w:r>
              <w:rPr>
                <w:color w:val="000000"/>
                <w:sz w:val="18"/>
                <w:szCs w:val="18"/>
              </w:rPr>
              <w:t>7,00%</w:t>
            </w:r>
          </w:p>
        </w:tc>
      </w:tr>
      <w:tr>
        <w:trPr/>
        <w:tc>
          <w:tcPr>
            <w:tcW w:w="55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rPr>
            </w:pPr>
            <w:r>
              <w:rPr>
                <w:b/>
              </w:rPr>
            </w:r>
          </w:p>
        </w:tc>
        <w:tc>
          <w:tcPr>
            <w:tcW w:w="3156"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sz w:val="18"/>
                <w:szCs w:val="18"/>
              </w:rPr>
            </w:pPr>
            <w:r>
              <w:rPr>
                <w:b/>
                <w:sz w:val="18"/>
                <w:szCs w:val="18"/>
              </w:rPr>
            </w:r>
          </w:p>
        </w:tc>
        <w:tc>
          <w:tcPr>
            <w:tcW w:w="69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00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8"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color w:val="000000"/>
                <w:sz w:val="18"/>
                <w:szCs w:val="18"/>
              </w:rPr>
            </w:pPr>
            <w:r>
              <w:rPr>
                <w:b/>
                <w:color w:val="000000"/>
                <w:sz w:val="18"/>
                <w:szCs w:val="18"/>
              </w:rPr>
            </w:r>
          </w:p>
        </w:tc>
        <w:tc>
          <w:tcPr>
            <w:tcW w:w="141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sz w:val="18"/>
                <w:szCs w:val="18"/>
              </w:rPr>
            </w:pPr>
            <w:r>
              <w:rPr>
                <w:b/>
                <w:color w:val="000000"/>
                <w:sz w:val="18"/>
                <w:szCs w:val="18"/>
              </w:rPr>
            </w:r>
          </w:p>
        </w:tc>
        <w:tc>
          <w:tcPr>
            <w:tcW w:w="12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color w:val="000000"/>
              </w:rPr>
            </w:pPr>
            <w:r>
              <w:rPr>
                <w:b/>
                <w:color w:val="000000"/>
                <w:sz w:val="16"/>
                <w:szCs w:val="16"/>
              </w:rPr>
              <w:t>Mínimo de Desconto (%)</w:t>
            </w:r>
          </w:p>
        </w:tc>
      </w:tr>
      <w:tr>
        <w:trPr/>
        <w:tc>
          <w:tcPr>
            <w:tcW w:w="55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21</w:t>
            </w:r>
          </w:p>
        </w:tc>
        <w:tc>
          <w:tcPr>
            <w:tcW w:w="315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6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00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sz w:val="18"/>
                <w:szCs w:val="18"/>
              </w:rPr>
            </w:pPr>
            <w:r>
              <w:rPr>
                <w:sz w:val="18"/>
                <w:szCs w:val="18"/>
              </w:rPr>
            </w:r>
          </w:p>
          <w:p>
            <w:pPr>
              <w:pStyle w:val="Normal"/>
              <w:widowControl w:val="false"/>
              <w:spacing w:lineRule="auto" w:line="276" w:before="0" w:after="120"/>
              <w:ind w:left="113" w:hanging="0"/>
              <w:jc w:val="center"/>
              <w:rPr>
                <w:sz w:val="18"/>
                <w:szCs w:val="18"/>
              </w:rPr>
            </w:pPr>
            <w:r>
              <w:rPr>
                <w:sz w:val="18"/>
                <w:szCs w:val="18"/>
              </w:rPr>
              <w:t>12</w:t>
            </w:r>
          </w:p>
        </w:tc>
        <w:tc>
          <w:tcPr>
            <w:tcW w:w="127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rPr>
            </w:pPr>
            <w:r>
              <w:rPr>
                <w:color w:val="000000"/>
                <w:sz w:val="18"/>
                <w:szCs w:val="18"/>
              </w:rPr>
              <w:t>*0,76</w:t>
            </w:r>
          </w:p>
        </w:tc>
        <w:tc>
          <w:tcPr>
            <w:tcW w:w="141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b/>
                <w:bCs/>
                <w:color w:val="000000"/>
                <w:sz w:val="18"/>
                <w:szCs w:val="18"/>
              </w:rPr>
              <w:t>9,12</w:t>
            </w:r>
          </w:p>
        </w:tc>
        <w:tc>
          <w:tcPr>
            <w:tcW w:w="12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sz w:val="18"/>
                <w:szCs w:val="18"/>
              </w:rPr>
            </w:pPr>
            <w:r>
              <w:rPr>
                <w:color w:val="000000"/>
                <w:sz w:val="18"/>
                <w:szCs w:val="18"/>
              </w:rPr>
            </w:r>
          </w:p>
          <w:p>
            <w:pPr>
              <w:pStyle w:val="Normal"/>
              <w:widowControl w:val="false"/>
              <w:spacing w:lineRule="auto" w:line="276" w:before="0" w:after="120"/>
              <w:jc w:val="center"/>
              <w:rPr>
                <w:color w:val="000000"/>
              </w:rPr>
            </w:pPr>
            <w:r>
              <w:rPr>
                <w:color w:val="000000"/>
                <w:sz w:val="18"/>
                <w:szCs w:val="18"/>
              </w:rPr>
              <w:t xml:space="preserve">   </w:t>
            </w:r>
            <w:r>
              <w:rPr>
                <w:color w:val="000000"/>
              </w:rPr>
              <w:t>0,01</w:t>
            </w:r>
            <w:r>
              <w:rPr>
                <w:color w:val="000000"/>
                <w:sz w:val="18"/>
                <w:szCs w:val="18"/>
              </w:rPr>
              <w:t>%</w:t>
            </w:r>
          </w:p>
          <w:p>
            <w:pPr>
              <w:pStyle w:val="Normal"/>
              <w:widowControl w:val="false"/>
              <w:spacing w:lineRule="auto" w:line="276" w:before="0" w:after="120"/>
              <w:jc w:val="center"/>
              <w:rPr>
                <w:color w:val="000000"/>
                <w:sz w:val="18"/>
                <w:szCs w:val="18"/>
              </w:rPr>
            </w:pPr>
            <w:r>
              <w:rPr>
                <w:color w:val="000000"/>
                <w:sz w:val="18"/>
                <w:szCs w:val="18"/>
              </w:rPr>
            </w:r>
          </w:p>
        </w:tc>
      </w:tr>
      <w:tr>
        <w:trPr/>
        <w:tc>
          <w:tcPr>
            <w:tcW w:w="6691"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sz w:val="18"/>
                <w:szCs w:val="18"/>
              </w:rPr>
            </w:pPr>
            <w:r>
              <w:rPr>
                <w:b/>
                <w:bCs/>
              </w:rPr>
              <w:t>Valor Total Estimado SEM Desconto R$</w:t>
            </w:r>
          </w:p>
        </w:tc>
        <w:tc>
          <w:tcPr>
            <w:tcW w:w="2691"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sz w:val="20"/>
                <w:szCs w:val="20"/>
              </w:rPr>
              <w:t>91.175,76</w:t>
            </w:r>
          </w:p>
        </w:tc>
      </w:tr>
      <w:tr>
        <w:trPr/>
        <w:tc>
          <w:tcPr>
            <w:tcW w:w="9382"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sz w:val="18"/>
                <w:szCs w:val="18"/>
              </w:rPr>
              <w:t xml:space="preserve">Endereço e contatos para a prestação dos serviços: </w:t>
            </w:r>
            <w:r>
              <w:rPr>
                <w:sz w:val="18"/>
                <w:szCs w:val="18"/>
              </w:rPr>
              <w:t xml:space="preserve">BR 428, Km 90, Zona Rural, CEP 56.380-000, Santa Maria da Boa Vista/PE. Telefone: (87) 99952-8816 – Email: </w:t>
            </w:r>
            <w:hyperlink r:id="rId7">
              <w:r>
                <w:rPr>
                  <w:rStyle w:val="LinkdaInternet"/>
                  <w:color w:val="0000FF"/>
                  <w:sz w:val="18"/>
                  <w:szCs w:val="18"/>
                  <w:u w:val="single"/>
                </w:rPr>
                <w:t>csm.dap@ifsertao-pe.edu.br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01: Os valores dos itens 19 e 20 representam as estimativas de gastos com combustíveis, Arla 32, lubrificantes, peças, serviços e manutenções para o período de 12(doze) meses. No caso do item 21 o valor representa o mínimo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19 e 20 será aplicado diretamente sobre os valores das faturas dos fornecimentos e serviços prestados pela rede credenciada/conveniada da empresa administradora.</w:t>
      </w:r>
    </w:p>
    <w:p>
      <w:pPr>
        <w:pStyle w:val="Normal"/>
        <w:rPr/>
      </w:pPr>
      <w:r>
        <w:rPr/>
      </w:r>
    </w:p>
    <w:p>
      <w:pPr>
        <w:pStyle w:val="Normal"/>
        <w:rPr/>
      </w:pPr>
      <w:r>
        <w:rPr/>
      </w:r>
    </w:p>
    <w:p>
      <w:pPr>
        <w:pStyle w:val="Normal"/>
        <w:ind w:left="360" w:hanging="0"/>
        <w:rPr>
          <w:color w:val="000000"/>
        </w:rPr>
      </w:pPr>
      <w:r>
        <w:rPr>
          <w:color w:val="000000"/>
        </w:rPr>
      </w:r>
    </w:p>
    <w:tbl>
      <w:tblPr>
        <w:tblW w:w="9524" w:type="dxa"/>
        <w:jc w:val="center"/>
        <w:tblInd w:w="0" w:type="dxa"/>
        <w:tblCellMar>
          <w:top w:w="0" w:type="dxa"/>
          <w:left w:w="98" w:type="dxa"/>
          <w:bottom w:w="0" w:type="dxa"/>
          <w:right w:w="108" w:type="dxa"/>
        </w:tblCellMar>
        <w:tblLook w:firstRow="0" w:noVBand="1" w:lastRow="0" w:firstColumn="0" w:lastColumn="0" w:noHBand="0" w:val="0400"/>
      </w:tblPr>
      <w:tblGrid>
        <w:gridCol w:w="560"/>
        <w:gridCol w:w="3153"/>
        <w:gridCol w:w="708"/>
        <w:gridCol w:w="993"/>
        <w:gridCol w:w="1276"/>
        <w:gridCol w:w="1415"/>
        <w:gridCol w:w="1418"/>
      </w:tblGrid>
      <w:tr>
        <w:trPr/>
        <w:tc>
          <w:tcPr>
            <w:tcW w:w="9523" w:type="dxa"/>
            <w:gridSpan w:val="7"/>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245" w:right="-197" w:hanging="0"/>
              <w:jc w:val="center"/>
              <w:rPr>
                <w:b/>
                <w:b/>
                <w:sz w:val="22"/>
                <w:szCs w:val="22"/>
              </w:rPr>
            </w:pPr>
            <w:r>
              <w:rPr>
                <w:b/>
                <w:sz w:val="22"/>
                <w:szCs w:val="22"/>
              </w:rPr>
              <w:t xml:space="preserve">GRUPO 08 (Campus Serra Talhada/IF SERTÃO – PE – UASG 158741) </w:t>
            </w:r>
          </w:p>
          <w:p>
            <w:pPr>
              <w:pStyle w:val="Normal"/>
              <w:widowControl w:val="false"/>
              <w:ind w:left="-104" w:right="-81" w:hanging="0"/>
              <w:jc w:val="center"/>
              <w:rPr>
                <w:b/>
                <w:b/>
                <w:sz w:val="18"/>
                <w:szCs w:val="18"/>
              </w:rPr>
            </w:pPr>
            <w:r>
              <w:rPr>
                <w:b/>
                <w:sz w:val="18"/>
                <w:szCs w:val="18"/>
              </w:rPr>
            </w:r>
          </w:p>
        </w:tc>
      </w:tr>
      <w:tr>
        <w:trPr/>
        <w:tc>
          <w:tcPr>
            <w:tcW w:w="560"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3" w:type="dxa"/>
            <w:tcBorders>
              <w:top w:val="single" w:sz="4" w:space="0" w:color="000001"/>
              <w:left w:val="single" w:sz="4" w:space="0" w:color="000001"/>
              <w:bottom w:val="single" w:sz="4" w:space="0" w:color="000001"/>
              <w:right w:val="single" w:sz="4" w:space="0" w:color="000001"/>
            </w:tcBorders>
            <w:shd w:color="auto" w:fill="B8CCE4"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08"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70" w:right="-134" w:hanging="0"/>
              <w:jc w:val="center"/>
              <w:rPr>
                <w:sz w:val="16"/>
                <w:szCs w:val="16"/>
              </w:rPr>
            </w:pPr>
            <w:r>
              <w:rPr>
                <w:b/>
                <w:sz w:val="16"/>
                <w:szCs w:val="16"/>
              </w:rPr>
              <w:t xml:space="preserve">Unidade </w:t>
            </w:r>
          </w:p>
        </w:tc>
        <w:tc>
          <w:tcPr>
            <w:tcW w:w="993"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6"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7" w:right="-133" w:hanging="0"/>
              <w:jc w:val="center"/>
              <w:rPr>
                <w:b/>
                <w:b/>
                <w:sz w:val="16"/>
                <w:szCs w:val="16"/>
              </w:rPr>
            </w:pPr>
            <w:r>
              <w:rPr>
                <w:b/>
                <w:sz w:val="16"/>
                <w:szCs w:val="16"/>
              </w:rPr>
              <w:t>Valor Mensal Estimado SEM Desconto (R$)</w:t>
            </w:r>
          </w:p>
        </w:tc>
        <w:tc>
          <w:tcPr>
            <w:tcW w:w="1415"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4" w:right="-81" w:hanging="0"/>
              <w:jc w:val="center"/>
              <w:rPr>
                <w:b/>
                <w:b/>
                <w:sz w:val="16"/>
                <w:szCs w:val="16"/>
              </w:rPr>
            </w:pPr>
            <w:r>
              <w:rPr>
                <w:b/>
                <w:sz w:val="16"/>
                <w:szCs w:val="16"/>
              </w:rPr>
              <w:t>Valor Anual Estimado SEM Desconto(R$)</w:t>
            </w:r>
          </w:p>
        </w:tc>
        <w:tc>
          <w:tcPr>
            <w:tcW w:w="1418"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22</w:t>
            </w:r>
          </w:p>
        </w:tc>
        <w:tc>
          <w:tcPr>
            <w:tcW w:w="315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0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w:t>
            </w:r>
          </w:p>
        </w:tc>
        <w:tc>
          <w:tcPr>
            <w:tcW w:w="12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7.991,81</w:t>
            </w:r>
          </w:p>
        </w:tc>
        <w:tc>
          <w:tcPr>
            <w:tcW w:w="14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95.901,72</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23</w:t>
            </w:r>
          </w:p>
        </w:tc>
        <w:tc>
          <w:tcPr>
            <w:tcW w:w="315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sz w:val="18"/>
                <w:szCs w:val="18"/>
              </w:rPr>
              <w:t>12</w:t>
            </w:r>
          </w:p>
        </w:tc>
        <w:tc>
          <w:tcPr>
            <w:tcW w:w="12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1.508,50</w:t>
            </w:r>
          </w:p>
        </w:tc>
        <w:tc>
          <w:tcPr>
            <w:tcW w:w="14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18.102,00</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60"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lineRule="auto" w:line="276" w:before="0" w:after="120"/>
              <w:jc w:val="center"/>
              <w:rPr/>
            </w:pPr>
            <w:r>
              <w:rPr/>
            </w:r>
          </w:p>
        </w:tc>
        <w:tc>
          <w:tcPr>
            <w:tcW w:w="3153" w:type="dxa"/>
            <w:tcBorders>
              <w:top w:val="single" w:sz="4" w:space="0" w:color="000001"/>
              <w:left w:val="single" w:sz="4" w:space="0" w:color="000001"/>
              <w:bottom w:val="single" w:sz="4" w:space="0" w:color="000001"/>
              <w:right w:val="single" w:sz="4" w:space="0" w:color="000001"/>
            </w:tcBorders>
            <w:shd w:color="auto" w:fill="B8CCE4" w:val="clear"/>
          </w:tcPr>
          <w:p>
            <w:pPr>
              <w:pStyle w:val="Normal"/>
              <w:jc w:val="both"/>
              <w:rPr>
                <w:b/>
                <w:b/>
              </w:rPr>
            </w:pPr>
            <w:r>
              <w:rPr>
                <w:b/>
              </w:rPr>
            </w:r>
          </w:p>
        </w:tc>
        <w:tc>
          <w:tcPr>
            <w:tcW w:w="708"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lineRule="auto" w:line="276" w:before="0" w:after="120"/>
              <w:ind w:right="-198" w:hanging="0"/>
              <w:rPr/>
            </w:pPr>
            <w:r>
              <w:rPr/>
            </w:r>
          </w:p>
        </w:tc>
        <w:tc>
          <w:tcPr>
            <w:tcW w:w="993"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lineRule="auto" w:line="276" w:before="0" w:after="120"/>
              <w:ind w:left="113" w:hanging="0"/>
              <w:rPr/>
            </w:pPr>
            <w:r>
              <w:rPr/>
            </w:r>
          </w:p>
        </w:tc>
        <w:tc>
          <w:tcPr>
            <w:tcW w:w="1276" w:type="dxa"/>
            <w:tcBorders>
              <w:top w:val="single" w:sz="4" w:space="0" w:color="000001"/>
              <w:left w:val="single" w:sz="4" w:space="0" w:color="000001"/>
              <w:bottom w:val="single" w:sz="4" w:space="0" w:color="000001"/>
              <w:right w:val="single" w:sz="4" w:space="0" w:color="000001"/>
            </w:tcBorders>
            <w:shd w:color="auto" w:fill="B8CCE4" w:val="clear"/>
          </w:tcPr>
          <w:p>
            <w:pPr>
              <w:pStyle w:val="Normal"/>
              <w:ind w:left="-15" w:right="-50" w:hanging="0"/>
              <w:rPr/>
            </w:pPr>
            <w:r>
              <w:rPr/>
            </w:r>
          </w:p>
        </w:tc>
        <w:tc>
          <w:tcPr>
            <w:tcW w:w="1415"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lineRule="auto" w:line="276" w:before="0" w:after="120"/>
              <w:rPr>
                <w:b/>
                <w:b/>
                <w:sz w:val="18"/>
                <w:szCs w:val="18"/>
              </w:rPr>
            </w:pPr>
            <w:r>
              <w:rPr>
                <w:b/>
                <w:sz w:val="18"/>
                <w:szCs w:val="18"/>
              </w:rPr>
            </w:r>
          </w:p>
        </w:tc>
        <w:tc>
          <w:tcPr>
            <w:tcW w:w="1418"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4" w:right="-81" w:hanging="0"/>
              <w:jc w:val="center"/>
              <w:rPr>
                <w:sz w:val="18"/>
                <w:szCs w:val="18"/>
              </w:rPr>
            </w:pPr>
            <w:r>
              <w:rPr>
                <w:b/>
                <w:sz w:val="16"/>
                <w:szCs w:val="16"/>
              </w:rPr>
              <w:t>Mínimo de Desconto (%)</w:t>
            </w:r>
          </w:p>
        </w:tc>
      </w:tr>
      <w:tr>
        <w:trPr/>
        <w:tc>
          <w:tcPr>
            <w:tcW w:w="5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24</w:t>
            </w:r>
          </w:p>
        </w:tc>
        <w:tc>
          <w:tcPr>
            <w:tcW w:w="315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sz w:val="18"/>
                <w:szCs w:val="18"/>
              </w:rPr>
            </w:pPr>
            <w:r>
              <w:rPr>
                <w:sz w:val="18"/>
                <w:szCs w:val="18"/>
              </w:rPr>
            </w:r>
          </w:p>
          <w:p>
            <w:pPr>
              <w:pStyle w:val="Normal"/>
              <w:widowControl w:val="false"/>
              <w:spacing w:lineRule="auto" w:line="276" w:before="0" w:after="120"/>
              <w:ind w:left="113" w:hanging="0"/>
              <w:jc w:val="center"/>
              <w:rPr>
                <w:sz w:val="18"/>
                <w:szCs w:val="18"/>
              </w:rPr>
            </w:pPr>
            <w:r>
              <w:rPr>
                <w:sz w:val="18"/>
                <w:szCs w:val="18"/>
              </w:rPr>
              <w:t>12</w:t>
            </w:r>
          </w:p>
        </w:tc>
        <w:tc>
          <w:tcPr>
            <w:tcW w:w="127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sz w:val="18"/>
                <w:szCs w:val="18"/>
              </w:rPr>
            </w:pPr>
            <w:r>
              <w:rPr>
                <w:color w:val="000000"/>
                <w:sz w:val="18"/>
                <w:szCs w:val="18"/>
              </w:rPr>
            </w:r>
          </w:p>
          <w:p>
            <w:pPr>
              <w:pStyle w:val="Normal"/>
              <w:ind w:left="-15" w:right="-50" w:hanging="0"/>
              <w:jc w:val="center"/>
              <w:rPr>
                <w:color w:val="000000"/>
              </w:rPr>
            </w:pPr>
            <w:r>
              <w:rPr>
                <w:color w:val="000000"/>
                <w:sz w:val="18"/>
                <w:szCs w:val="18"/>
              </w:rPr>
              <w:t>*0,95</w:t>
            </w:r>
          </w:p>
        </w:tc>
        <w:tc>
          <w:tcPr>
            <w:tcW w:w="141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b/>
                <w:bCs/>
                <w:color w:val="000000"/>
                <w:sz w:val="18"/>
                <w:szCs w:val="18"/>
              </w:rPr>
              <w:t>11,40</w:t>
            </w:r>
          </w:p>
        </w:tc>
        <w:tc>
          <w:tcPr>
            <w:tcW w:w="141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sz w:val="18"/>
                <w:szCs w:val="18"/>
              </w:rPr>
            </w:pPr>
            <w:r>
              <w:rPr>
                <w:color w:val="000000"/>
                <w:sz w:val="18"/>
                <w:szCs w:val="18"/>
              </w:rPr>
            </w:r>
          </w:p>
          <w:p>
            <w:pPr>
              <w:pStyle w:val="Normal"/>
              <w:widowControl w:val="false"/>
              <w:spacing w:lineRule="auto" w:line="276" w:before="0" w:after="120"/>
              <w:jc w:val="center"/>
              <w:rPr>
                <w:color w:val="000000"/>
              </w:rPr>
            </w:pPr>
            <w:r>
              <w:rPr>
                <w:color w:val="000000"/>
                <w:sz w:val="18"/>
                <w:szCs w:val="18"/>
              </w:rPr>
              <w:t xml:space="preserve">  </w:t>
            </w:r>
            <w:r>
              <w:rPr>
                <w:color w:val="000000"/>
              </w:rPr>
              <w:t>0,01</w:t>
            </w:r>
            <w:r>
              <w:rPr>
                <w:color w:val="000000"/>
                <w:sz w:val="18"/>
                <w:szCs w:val="18"/>
              </w:rPr>
              <w:t>%</w:t>
            </w:r>
          </w:p>
          <w:p>
            <w:pPr>
              <w:pStyle w:val="Normal"/>
              <w:widowControl w:val="false"/>
              <w:spacing w:lineRule="auto" w:line="276" w:before="0" w:after="120"/>
              <w:jc w:val="center"/>
              <w:rPr>
                <w:color w:val="000000"/>
                <w:sz w:val="18"/>
                <w:szCs w:val="18"/>
              </w:rPr>
            </w:pPr>
            <w:r>
              <w:rPr>
                <w:color w:val="000000"/>
                <w:sz w:val="18"/>
                <w:szCs w:val="18"/>
              </w:rPr>
            </w:r>
          </w:p>
        </w:tc>
      </w:tr>
      <w:tr>
        <w:trPr/>
        <w:tc>
          <w:tcPr>
            <w:tcW w:w="6690"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sz w:val="18"/>
                <w:szCs w:val="18"/>
              </w:rPr>
            </w:pPr>
            <w:r>
              <w:rPr>
                <w:b/>
                <w:bCs/>
              </w:rPr>
              <w:t>Valor Total Estimado SEM Desconto R$</w:t>
            </w:r>
          </w:p>
        </w:tc>
        <w:tc>
          <w:tcPr>
            <w:tcW w:w="2833"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rPr>
              <w:t>114.015,12</w:t>
            </w:r>
          </w:p>
        </w:tc>
      </w:tr>
      <w:tr>
        <w:trPr/>
        <w:tc>
          <w:tcPr>
            <w:tcW w:w="9523" w:type="dxa"/>
            <w:gridSpan w:val="7"/>
            <w:tcBorders>
              <w:top w:val="single" w:sz="4" w:space="0" w:color="000001"/>
              <w:left w:val="single" w:sz="4" w:space="0" w:color="000001"/>
              <w:bottom w:val="single" w:sz="4" w:space="0" w:color="000001"/>
              <w:right w:val="single" w:sz="4" w:space="0" w:color="000001"/>
            </w:tcBorders>
            <w:shd w:color="auto" w:fill="D6E3BC" w:themeFill="accent3" w:themeFillTint="66" w:val="clear"/>
          </w:tcPr>
          <w:p>
            <w:pPr>
              <w:pStyle w:val="Normal"/>
              <w:widowControl w:val="false"/>
              <w:spacing w:lineRule="auto" w:line="276" w:before="0" w:after="120"/>
              <w:jc w:val="center"/>
              <w:rPr>
                <w:b/>
                <w:b/>
                <w:bCs/>
                <w:color w:val="000000"/>
              </w:rPr>
            </w:pPr>
            <w:r>
              <w:rPr>
                <w:b/>
                <w:bCs/>
                <w:color w:val="000000"/>
              </w:rPr>
            </w:r>
          </w:p>
        </w:tc>
      </w:tr>
      <w:tr>
        <w:trPr/>
        <w:tc>
          <w:tcPr>
            <w:tcW w:w="6690"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b/>
                <w:b/>
                <w:bCs/>
              </w:rPr>
            </w:pPr>
            <w:r>
              <w:rPr>
                <w:b/>
                <w:bCs/>
              </w:rPr>
              <w:t>Valor Global SEM Desconto(R$)</w:t>
            </w:r>
          </w:p>
        </w:tc>
        <w:tc>
          <w:tcPr>
            <w:tcW w:w="2833"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rPr>
              <w:t>1.349.107.56</w:t>
            </w:r>
          </w:p>
        </w:tc>
      </w:tr>
      <w:tr>
        <w:trPr/>
        <w:tc>
          <w:tcPr>
            <w:tcW w:w="9523"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76" w:before="0" w:after="120"/>
              <w:jc w:val="both"/>
              <w:rPr/>
            </w:pPr>
            <w:r>
              <w:rPr>
                <w:b/>
                <w:sz w:val="18"/>
                <w:szCs w:val="18"/>
              </w:rPr>
              <w:t xml:space="preserve">Endereço e contatos para a prestação dos serviços: </w:t>
            </w:r>
            <w:r>
              <w:rPr>
                <w:sz w:val="18"/>
                <w:szCs w:val="18"/>
              </w:rPr>
              <w:t xml:space="preserve">Rodovia PE 320, Km 126, Zona Rural, Caixa Postal 70, CEP 56900-000, Serra Talhada/PE. Telefone: (87) 98866-1978 – E-mail:  </w:t>
            </w:r>
            <w:hyperlink r:id="rId8">
              <w:r>
                <w:rPr>
                  <w:rStyle w:val="LinkdaInternet"/>
                  <w:color w:val="0000FF"/>
                  <w:sz w:val="18"/>
                  <w:szCs w:val="18"/>
                  <w:u w:val="single"/>
                </w:rPr>
                <w:t>elenilson.nobre@ifsertao-pe.edu.br</w:t>
              </w:r>
            </w:hyperlink>
          </w:p>
        </w:tc>
      </w:tr>
    </w:tbl>
    <w:p>
      <w:pPr>
        <w:pStyle w:val="Normal"/>
        <w:widowControl w:val="false"/>
        <w:jc w:val="both"/>
        <w:rPr>
          <w:i/>
          <w:i/>
          <w:sz w:val="18"/>
          <w:szCs w:val="18"/>
        </w:rPr>
      </w:pPr>
      <w:r>
        <w:rPr>
          <w:i/>
          <w:sz w:val="18"/>
          <w:szCs w:val="18"/>
        </w:rPr>
        <w:t>* Valor resultante da soma dos Valores Mensal Estimado SEM Desconto multiplicado pelo percentual de 0,01% (taxa de administração).</w:t>
      </w:r>
    </w:p>
    <w:p>
      <w:pPr>
        <w:pStyle w:val="Normal"/>
        <w:widowControl w:val="false"/>
        <w:ind w:left="360" w:hanging="0"/>
        <w:jc w:val="both"/>
        <w:rPr>
          <w:color w:val="000000"/>
        </w:rPr>
      </w:pPr>
      <w:r>
        <w:rPr>
          <w:color w:val="000000"/>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 xml:space="preserve">Obs. 01: Os valores dos itens 22 e 23 representam as estimativas de gastos com combustíveis, </w:t>
      </w:r>
      <w:r>
        <w:rPr>
          <w:b/>
          <w:sz w:val="18"/>
          <w:szCs w:val="18"/>
        </w:rPr>
        <w:t xml:space="preserve">Arla 32, </w:t>
      </w:r>
      <w:r>
        <w:rPr>
          <w:b/>
          <w:color w:val="000000"/>
          <w:sz w:val="18"/>
          <w:szCs w:val="18"/>
        </w:rPr>
        <w:t xml:space="preserve">lubrificantes, peças, serviços e manutenções para o período de 12(doze) meses. No caso do item 24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r>
    </w:p>
    <w:p>
      <w:pPr>
        <w:pStyle w:val="Normal"/>
        <w:widowControl w:val="false"/>
        <w:suppressAutoHyphens w:val="true"/>
        <w:bidi w:val="0"/>
        <w:spacing w:lineRule="auto" w:line="276" w:before="0" w:after="0"/>
        <w:ind w:left="0" w:right="0" w:hanging="0"/>
        <w:jc w:val="both"/>
        <w:rPr>
          <w:b/>
          <w:b/>
          <w:color w:val="000000"/>
          <w:sz w:val="18"/>
          <w:szCs w:val="18"/>
        </w:rPr>
      </w:pPr>
      <w:r>
        <w:rPr>
          <w:b/>
          <w:color w:val="000000"/>
          <w:sz w:val="18"/>
          <w:szCs w:val="18"/>
        </w:rPr>
        <w:t>Obs. 02: O percentual de desconto ofertado aos itens 22 e 23 será aplicado diretamente sobre os valores das faturas dos fornecimentos e serviços prestados pela rede credenciada/conveniada da empresa administradora.</w:t>
      </w:r>
    </w:p>
    <w:p>
      <w:pPr>
        <w:pStyle w:val="Normal"/>
        <w:spacing w:lineRule="auto" w:line="276"/>
        <w:jc w:val="both"/>
        <w:rPr>
          <w:color w:val="000000"/>
          <w:sz w:val="22"/>
          <w:szCs w:val="22"/>
        </w:rPr>
      </w:pPr>
      <w:r>
        <w:rPr>
          <w:color w:val="000000"/>
          <w:sz w:val="22"/>
          <w:szCs w:val="22"/>
        </w:rPr>
      </w:r>
    </w:p>
    <w:p>
      <w:pPr>
        <w:pStyle w:val="Normal"/>
        <w:widowControl/>
        <w:numPr>
          <w:ilvl w:val="2"/>
          <w:numId w:val="6"/>
        </w:numPr>
        <w:suppressAutoHyphens w:val="true"/>
        <w:bidi w:val="0"/>
        <w:spacing w:lineRule="auto" w:line="259" w:before="0" w:after="120"/>
        <w:ind w:left="567" w:right="0" w:hanging="0"/>
        <w:jc w:val="both"/>
        <w:rPr/>
      </w:pPr>
      <w:r>
        <w:rPr>
          <w:color w:val="000000"/>
          <w:sz w:val="22"/>
          <w:szCs w:val="22"/>
        </w:rPr>
        <w:t>A Estimativa das quantidades e de valores, mensal e anual, do Órgão Gerenciador e Órgãos Participantes encontram-se no</w:t>
      </w:r>
      <w:r>
        <w:rPr>
          <w:b/>
          <w:color w:val="000000"/>
          <w:sz w:val="22"/>
          <w:szCs w:val="22"/>
        </w:rPr>
        <w:t xml:space="preserve"> Anexo I/C </w:t>
      </w:r>
      <w:r>
        <w:rPr>
          <w:color w:val="000000"/>
          <w:sz w:val="22"/>
          <w:szCs w:val="22"/>
        </w:rPr>
        <w:t>deste Termo.</w:t>
      </w:r>
    </w:p>
    <w:p>
      <w:pPr>
        <w:pStyle w:val="Normal"/>
        <w:numPr>
          <w:ilvl w:val="1"/>
          <w:numId w:val="6"/>
        </w:numPr>
        <w:spacing w:lineRule="auto" w:line="276" w:before="120" w:after="120"/>
        <w:ind w:left="0" w:hanging="0"/>
        <w:jc w:val="both"/>
        <w:rPr>
          <w:sz w:val="22"/>
          <w:szCs w:val="22"/>
        </w:rPr>
      </w:pPr>
      <w:r>
        <w:rPr>
          <w:sz w:val="22"/>
          <w:szCs w:val="22"/>
        </w:rPr>
        <w:t>O objeto da licitação tem a natureza de serviço comum de natureza continuada, nos termos do parágrafo único, art. 1º da Lei nº 10.520, de 2002.</w:t>
      </w:r>
    </w:p>
    <w:p>
      <w:pPr>
        <w:pStyle w:val="Normal"/>
        <w:numPr>
          <w:ilvl w:val="1"/>
          <w:numId w:val="6"/>
        </w:numPr>
        <w:spacing w:lineRule="auto" w:line="276" w:before="120" w:after="120"/>
        <w:ind w:left="0" w:hanging="0"/>
        <w:jc w:val="both"/>
        <w:rPr>
          <w:sz w:val="22"/>
          <w:szCs w:val="22"/>
        </w:rPr>
      </w:pPr>
      <w:r>
        <w:rPr>
          <w:sz w:val="22"/>
          <w:szCs w:val="22"/>
        </w:rPr>
        <w:t xml:space="preserve">Os quantitativos e respectivos códigos dos itens são os discriminados na tabela </w:t>
      </w:r>
      <w:r>
        <w:rPr>
          <w:b/>
          <w:sz w:val="22"/>
          <w:szCs w:val="22"/>
        </w:rPr>
        <w:t>Anexo I/B deste Termo</w:t>
      </w:r>
      <w:r>
        <w:rPr>
          <w:sz w:val="22"/>
          <w:szCs w:val="22"/>
        </w:rPr>
        <w:t>.</w:t>
      </w:r>
    </w:p>
    <w:p>
      <w:pPr>
        <w:pStyle w:val="Normal"/>
        <w:numPr>
          <w:ilvl w:val="1"/>
          <w:numId w:val="6"/>
        </w:numPr>
        <w:spacing w:lineRule="auto" w:line="276" w:before="120" w:after="120"/>
        <w:ind w:left="0" w:hanging="0"/>
        <w:jc w:val="both"/>
        <w:rPr>
          <w:sz w:val="22"/>
          <w:szCs w:val="22"/>
        </w:rPr>
      </w:pPr>
      <w:r>
        <w:rPr>
          <w:sz w:val="22"/>
          <w:szCs w:val="22"/>
        </w:rPr>
        <w:t>A presente contratação adotará como regime de execução a Empreitada por Preço Global por Grupo.</w:t>
      </w:r>
    </w:p>
    <w:p>
      <w:pPr>
        <w:pStyle w:val="Normal"/>
        <w:widowControl/>
        <w:suppressAutoHyphens w:val="true"/>
        <w:bidi w:val="0"/>
        <w:spacing w:lineRule="auto" w:line="276" w:before="120" w:after="120"/>
        <w:ind w:left="567" w:right="0" w:hanging="0"/>
        <w:jc w:val="both"/>
        <w:rPr/>
      </w:pPr>
      <w:r>
        <w:rPr>
          <w:b/>
          <w:sz w:val="22"/>
          <w:szCs w:val="22"/>
        </w:rPr>
        <w:t xml:space="preserve">1.4.1 A licitação é formada por 8(oito) grupos correspondentes a cada uma das Unidades do IFSertãoPE, conforme </w:t>
      </w:r>
      <w:r>
        <w:rPr>
          <w:b/>
          <w:sz w:val="22"/>
          <w:szCs w:val="22"/>
          <w:u w:val="single"/>
        </w:rPr>
        <w:t>Planilha de Valor Máximo de Referência, Anexo I/C deste Termo.</w:t>
      </w:r>
    </w:p>
    <w:p>
      <w:pPr>
        <w:pStyle w:val="Normal"/>
        <w:spacing w:lineRule="auto" w:line="276" w:before="120" w:after="120"/>
        <w:jc w:val="both"/>
        <w:rPr>
          <w:b/>
          <w:b/>
          <w:sz w:val="22"/>
          <w:szCs w:val="22"/>
        </w:rPr>
      </w:pPr>
      <w:r>
        <w:rPr>
          <w:b/>
          <w:bCs/>
          <w:sz w:val="22"/>
          <w:szCs w:val="22"/>
        </w:rPr>
        <w:t xml:space="preserve">1.5. </w:t>
      </w:r>
      <w:r>
        <w:rPr>
          <w:sz w:val="22"/>
          <w:szCs w:val="22"/>
        </w:rPr>
        <w:t>O prazo de vigência do contrato é de 12(doze) meses, podendo ser prorrogado por interesse das partes até o limite de 60 (sessenta) meses, com base no artigo 57, II, da Lei 8.666, de 1993.</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JUSTIFICATIVA E OBJETIVO DA CONTRATAÇÃO</w:t>
      </w:r>
    </w:p>
    <w:p>
      <w:pPr>
        <w:pStyle w:val="Normal"/>
        <w:widowControl/>
        <w:numPr>
          <w:ilvl w:val="1"/>
          <w:numId w:val="6"/>
        </w:numPr>
        <w:suppressAutoHyphens w:val="true"/>
        <w:bidi w:val="0"/>
        <w:spacing w:lineRule="auto" w:line="276" w:before="120" w:after="120"/>
        <w:ind w:left="0" w:right="0" w:hanging="0"/>
        <w:jc w:val="both"/>
        <w:rPr/>
      </w:pPr>
      <w:r>
        <w:rPr>
          <w:sz w:val="22"/>
          <w:szCs w:val="22"/>
        </w:rPr>
        <w:t>A Justificativa e objetivo da contratação encontra-se pormenorizada em Tópico específico dos Estudos Técnicos Preliminares, apêndice deste Termo de Referência.</w:t>
      </w:r>
    </w:p>
    <w:p>
      <w:pPr>
        <w:pStyle w:val="Normal"/>
        <w:numPr>
          <w:ilvl w:val="1"/>
          <w:numId w:val="6"/>
        </w:numPr>
        <w:spacing w:lineRule="auto" w:line="276" w:before="120" w:after="120"/>
        <w:ind w:left="432" w:hanging="432"/>
        <w:jc w:val="both"/>
        <w:rPr>
          <w:sz w:val="22"/>
          <w:szCs w:val="22"/>
        </w:rPr>
      </w:pPr>
      <w:r>
        <w:rPr>
          <w:b/>
          <w:sz w:val="22"/>
          <w:szCs w:val="22"/>
        </w:rPr>
        <w:t>Justificativa para o Agrupamento</w:t>
      </w:r>
      <w:r>
        <w:rPr>
          <w:b/>
          <w:color w:val="000000"/>
          <w:sz w:val="22"/>
          <w:szCs w:val="22"/>
        </w:rPr>
        <w:t>:</w:t>
      </w:r>
      <w:r>
        <w:rPr>
          <w:color w:val="000000"/>
          <w:sz w:val="22"/>
          <w:szCs w:val="22"/>
        </w:rPr>
        <w:t xml:space="preserve"> </w:t>
      </w:r>
    </w:p>
    <w:p>
      <w:pPr>
        <w:pStyle w:val="Normal"/>
        <w:widowControl/>
        <w:suppressAutoHyphens w:val="true"/>
        <w:bidi w:val="0"/>
        <w:spacing w:lineRule="auto" w:line="276" w:before="120" w:after="120"/>
        <w:ind w:left="0" w:right="0" w:hanging="0"/>
        <w:jc w:val="both"/>
        <w:rPr/>
      </w:pPr>
      <w:r>
        <w:rPr>
          <w:b/>
          <w:bCs/>
          <w:color w:val="333333"/>
          <w:sz w:val="22"/>
          <w:szCs w:val="22"/>
        </w:rPr>
        <w:t xml:space="preserve">2.2.1 </w:t>
      </w:r>
      <w:r>
        <w:rPr>
          <w:color w:val="333333"/>
          <w:sz w:val="22"/>
          <w:szCs w:val="22"/>
        </w:rPr>
        <w:t>JUSTIFICATIVA PARA AGRUPAMENTO – EMPREITADA POR PREÇO GLOBAL: O agrupamento de itens em lote, se faz necessário na presente contratação, uma vez que se trata de demandas pertinentes a unidades administrativas distintas, localizadas em seis municípios diferentes (Petrolina, Santa Maria da Boa Vista, Ouricuri, Salgueiro, Serra Talhada e Floresta), fato que deve ser levado em consideração para realização do agrupamento dos itens (com grupos para cada unidade administrativa). O agrupamento proposto se justifica visto que a contratação por item será técnica e economicamente inviável, uma vez que, dessa forma, poderá ocorrer a</w:t>
      </w:r>
      <w:r>
        <w:rPr/>
        <w:t xml:space="preserve"> </w:t>
      </w:r>
      <w:r>
        <w:rPr>
          <w:color w:val="333333"/>
          <w:sz w:val="22"/>
          <w:szCs w:val="22"/>
        </w:rPr>
        <w:t>homologação de uma quantidade muito grande de empresas, o que impossibilitaria o gerenciamento de um número muito grande de contratos, trazendo altos custos e ineficiência à Administração. A gestão de um único contrato por unidade administrativa vinculado ao IF Sertão PE,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participar do certame oriundo deste processo estarão aptos a ofertar lances em todos os itens de todos os grupos, podendo concorrer de maneira ampla. A realização desta licitação por item poderia inviabilizar a gestão dos inúmeros contratos que se originariam após a homologação.</w:t>
      </w:r>
    </w:p>
    <w:p>
      <w:pPr>
        <w:pStyle w:val="Normal"/>
        <w:widowControl/>
        <w:suppressAutoHyphens w:val="true"/>
        <w:bidi w:val="0"/>
        <w:spacing w:lineRule="auto" w:line="276" w:before="120" w:after="120"/>
        <w:ind w:left="0" w:right="-227" w:hanging="0"/>
        <w:jc w:val="both"/>
        <w:rPr/>
      </w:pPr>
      <w:r>
        <w:rPr>
          <w:b/>
          <w:bCs/>
          <w:color w:val="000000"/>
          <w:sz w:val="22"/>
          <w:szCs w:val="22"/>
        </w:rPr>
        <w:t>2.2.2</w:t>
      </w:r>
      <w:r>
        <w:rPr>
          <w:color w:val="000000"/>
          <w:sz w:val="22"/>
          <w:szCs w:val="22"/>
        </w:rPr>
        <w:t xml:space="preserve"> </w:t>
      </w:r>
      <w:r>
        <w:rPr>
          <w:color w:val="333333"/>
          <w:sz w:val="22"/>
          <w:szCs w:val="22"/>
        </w:rPr>
        <w:t xml:space="preserve">Não se vislumbram contratações apartadas para os itens (taxa, combustível e manutenção), haja vista que a empresa fornecedora do combustível e do serviço de manutenção também deve fornecer o suporte necessário ao agente público no gerenciamento das operações. De modo diverso, poderiam se criar lacunas de interpretação na imputação de responsabilidades, ou, ainda, delongar a solução de conflitos. Busca-se, com esse modelo, proporcionar maior segurança ao gestor e o menor tempo de imobilização do veículo, assegurando a disponibilidade da frota no atendimento das necessidades da Administração. Agrupa-se por unidade, haja vista que possuem responsáveis locais pela gestão de frotas, assim como a disponibilidade dos serviços devem considerar a localização das frotas e os ajustes no da execução do planejamento tanto nas manutenções quanto no consumo de combustíveis devem se alinhar com a autonomia de cada Unidade para gestão do orçamento e administrativa de seu patrimônio. </w:t>
      </w:r>
    </w:p>
    <w:p>
      <w:pPr>
        <w:pStyle w:val="Normal"/>
        <w:widowControl/>
        <w:suppressAutoHyphens w:val="true"/>
        <w:bidi w:val="0"/>
        <w:spacing w:lineRule="auto" w:line="276" w:before="120" w:after="120"/>
        <w:ind w:left="0" w:right="-227" w:hanging="0"/>
        <w:jc w:val="both"/>
        <w:rPr>
          <w:sz w:val="22"/>
          <w:szCs w:val="22"/>
        </w:rPr>
      </w:pPr>
      <w:r>
        <w:rPr>
          <w:b/>
          <w:bCs/>
          <w:color w:val="333333"/>
          <w:sz w:val="22"/>
          <w:szCs w:val="22"/>
        </w:rPr>
        <w:t xml:space="preserve">2.2.3 </w:t>
      </w:r>
      <w:r>
        <w:rPr>
          <w:color w:val="333333"/>
          <w:sz w:val="22"/>
          <w:szCs w:val="22"/>
        </w:rPr>
        <w:t xml:space="preserve">Desta forma possibilita a ampliação da participação de interessados no certame, considerando a sua capilaridade de atendimento e as cidades de localização das frotas. </w:t>
      </w:r>
    </w:p>
    <w:p>
      <w:pPr>
        <w:pStyle w:val="Normal"/>
        <w:widowControl/>
        <w:suppressAutoHyphens w:val="true"/>
        <w:bidi w:val="0"/>
        <w:spacing w:lineRule="auto" w:line="276" w:before="120" w:after="120"/>
        <w:ind w:left="0" w:right="-227" w:hanging="0"/>
        <w:jc w:val="both"/>
        <w:rPr>
          <w:sz w:val="22"/>
          <w:szCs w:val="22"/>
        </w:rPr>
      </w:pPr>
      <w:r>
        <w:rPr>
          <w:b/>
          <w:bCs/>
          <w:color w:val="333333"/>
          <w:sz w:val="22"/>
          <w:szCs w:val="22"/>
        </w:rPr>
        <w:t>2.2.4</w:t>
      </w:r>
      <w:r>
        <w:rPr>
          <w:color w:val="333333"/>
          <w:sz w:val="22"/>
          <w:szCs w:val="22"/>
        </w:rPr>
        <w:t xml:space="preserve"> Pode-se inferir ainda que não haverá perda de economia de escala tendo em vista as condições de precificação dos itens que fazem parte do bojo da solução, uma vez que para o serviço de troca de peças, considera o seguinte: O IF Sertão-PE, através de cotações, definirá a oficina credenciada e que executará os serviços de manutenção veicular, em estrita obediência à legislação, efetuando, no mínimo, três cotações de preços para cada peça a ser substituída, salvo em casos excepcionais. </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DESCRIÇÃO DA SOLUÇÃO:</w:t>
      </w:r>
    </w:p>
    <w:p>
      <w:pPr>
        <w:pStyle w:val="Normal"/>
        <w:widowControl/>
        <w:numPr>
          <w:ilvl w:val="1"/>
          <w:numId w:val="6"/>
        </w:numPr>
        <w:suppressAutoHyphens w:val="true"/>
        <w:bidi w:val="0"/>
        <w:spacing w:lineRule="auto" w:line="276" w:before="120" w:after="120"/>
        <w:ind w:left="0" w:right="0" w:hanging="0"/>
        <w:jc w:val="both"/>
        <w:rPr/>
      </w:pPr>
      <w:r>
        <w:rPr>
          <w:sz w:val="22"/>
          <w:szCs w:val="22"/>
        </w:rPr>
        <w:t>A descrição da solução como um todo, encontra-se pormenorizada em Tópico específico dos Estudos Técnicos Preliminares, apêndice deste Termo de Referência.</w:t>
      </w:r>
    </w:p>
    <w:p>
      <w:pPr>
        <w:pStyle w:val="Normal"/>
        <w:keepNext w:val="true"/>
        <w:keepLines/>
        <w:widowControl/>
        <w:numPr>
          <w:ilvl w:val="0"/>
          <w:numId w:val="6"/>
        </w:numPr>
        <w:suppressAutoHyphens w:val="true"/>
        <w:bidi w:val="0"/>
        <w:spacing w:lineRule="auto" w:line="276" w:before="480" w:after="0"/>
        <w:ind w:left="0" w:right="0" w:firstLine="57"/>
        <w:jc w:val="both"/>
        <w:rPr/>
      </w:pPr>
      <w:r>
        <w:rPr>
          <w:b/>
          <w:color w:val="000000"/>
          <w:sz w:val="22"/>
          <w:szCs w:val="22"/>
        </w:rPr>
        <w:t>DA CLASSIFICAÇÃO DOS SERVIÇOS E FORMA DE SELEÇÃO DO FORNECEDOR</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Trata-se de serviço comum de caráter continuado sem fornecimento de mão de obra em regime de dedicação exclusiva, a ser contratado mediante licitação, na modalidade pregão, em sua forma eletrônica, por Sistema de Registro de Preços na hipótese do Inciso III, Decreto nº 7.892/2013.</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 xml:space="preserve">REQUISITOS DA CONTRATAÇÃO </w:t>
      </w:r>
    </w:p>
    <w:p>
      <w:pPr>
        <w:pStyle w:val="Normal"/>
        <w:spacing w:before="0" w:after="120"/>
        <w:ind w:left="716" w:hanging="0"/>
        <w:jc w:val="both"/>
        <w:rPr>
          <w:sz w:val="22"/>
          <w:szCs w:val="22"/>
        </w:rPr>
      </w:pPr>
      <w:r>
        <w:rPr>
          <w:sz w:val="22"/>
          <w:szCs w:val="22"/>
        </w:rPr>
      </w:r>
    </w:p>
    <w:p>
      <w:pPr>
        <w:pStyle w:val="Normal"/>
        <w:widowControl/>
        <w:numPr>
          <w:ilvl w:val="1"/>
          <w:numId w:val="6"/>
        </w:numPr>
        <w:suppressAutoHyphens w:val="true"/>
        <w:bidi w:val="0"/>
        <w:spacing w:before="0" w:after="120"/>
        <w:ind w:left="0" w:right="0" w:hanging="0"/>
        <w:jc w:val="both"/>
        <w:rPr/>
      </w:pPr>
      <w:r>
        <w:rPr>
          <w:sz w:val="22"/>
          <w:szCs w:val="22"/>
        </w:rPr>
        <w:t>Conforme Estudos Preliminares, os requisitos da contratação abrangem o seguinte:</w:t>
      </w:r>
    </w:p>
    <w:p>
      <w:pPr>
        <w:pStyle w:val="Normal"/>
        <w:widowControl/>
        <w:numPr>
          <w:ilvl w:val="2"/>
          <w:numId w:val="6"/>
        </w:numPr>
        <w:suppressAutoHyphens w:val="true"/>
        <w:bidi w:val="0"/>
        <w:spacing w:before="0" w:after="120"/>
        <w:ind w:left="567" w:right="0" w:hanging="0"/>
        <w:jc w:val="both"/>
        <w:rPr/>
      </w:pPr>
      <w:r>
        <w:rPr>
          <w:sz w:val="22"/>
          <w:szCs w:val="22"/>
        </w:rPr>
        <w:t xml:space="preserve"> </w:t>
      </w:r>
      <w:r>
        <w:rPr>
          <w:sz w:val="22"/>
          <w:szCs w:val="22"/>
        </w:rPr>
        <w:t xml:space="preserve">A execução dos serviços far-se-á por meio de recursos de tecnologia da informação, oferecendo controles globais e individualizados da utilização e dos gastos dos veículos, compreendendo: </w:t>
      </w:r>
    </w:p>
    <w:p>
      <w:pPr>
        <w:pStyle w:val="Normal"/>
        <w:widowControl/>
        <w:suppressAutoHyphens w:val="true"/>
        <w:bidi w:val="0"/>
        <w:spacing w:before="0" w:after="120"/>
        <w:ind w:left="1134" w:right="0" w:hanging="0"/>
        <w:jc w:val="both"/>
        <w:rPr/>
      </w:pPr>
      <w:r>
        <w:rPr>
          <w:b/>
          <w:color w:val="000000"/>
          <w:sz w:val="22"/>
          <w:szCs w:val="22"/>
          <w:u w:val="single"/>
        </w:rPr>
        <w:t>5.1.1.1</w:t>
      </w:r>
      <w:r>
        <w:rPr>
          <w:color w:val="000000"/>
          <w:sz w:val="22"/>
          <w:szCs w:val="22"/>
          <w:u w:val="single"/>
        </w:rPr>
        <w:t xml:space="preserve"> </w:t>
      </w:r>
      <w:r>
        <w:rPr>
          <w:b/>
          <w:color w:val="000000"/>
          <w:sz w:val="22"/>
          <w:szCs w:val="22"/>
          <w:u w:val="single"/>
        </w:rPr>
        <w:t xml:space="preserve">Controles gerenciais da utilização dos veículos, por meio de: </w:t>
      </w:r>
    </w:p>
    <w:p>
      <w:pPr>
        <w:pStyle w:val="Normal"/>
        <w:widowControl/>
        <w:suppressAutoHyphens w:val="true"/>
        <w:bidi w:val="0"/>
        <w:spacing w:before="0" w:after="120"/>
        <w:ind w:left="1701" w:right="0" w:hanging="0"/>
        <w:jc w:val="both"/>
        <w:rPr>
          <w:sz w:val="22"/>
          <w:szCs w:val="22"/>
          <w:u w:val="single"/>
        </w:rPr>
      </w:pPr>
      <w:r>
        <w:rPr>
          <w:b/>
          <w:bCs/>
          <w:color w:val="000000"/>
          <w:sz w:val="22"/>
          <w:szCs w:val="22"/>
          <w:u w:val="single"/>
        </w:rPr>
        <w:t>5.1.1.1.1</w:t>
      </w:r>
      <w:r>
        <w:rPr>
          <w:color w:val="000000"/>
          <w:sz w:val="22"/>
          <w:szCs w:val="22"/>
          <w:u w:val="single"/>
        </w:rPr>
        <w:t xml:space="preserve"> Sistema de gerenciamento integrado oferecendo relatórios gerenciais, globais e individualizados, demonstrando todos os dados referentes ao abastecimento e manutenção dos veículos; </w:t>
      </w:r>
    </w:p>
    <w:p>
      <w:pPr>
        <w:pStyle w:val="Normal"/>
        <w:widowControl/>
        <w:suppressAutoHyphens w:val="true"/>
        <w:bidi w:val="0"/>
        <w:spacing w:before="0" w:after="120"/>
        <w:ind w:left="1701" w:right="0" w:hanging="0"/>
        <w:jc w:val="both"/>
        <w:rPr>
          <w:sz w:val="22"/>
          <w:szCs w:val="22"/>
          <w:u w:val="single"/>
        </w:rPr>
      </w:pPr>
      <w:r>
        <w:rPr>
          <w:b/>
          <w:bCs/>
          <w:color w:val="000000"/>
          <w:sz w:val="22"/>
          <w:szCs w:val="22"/>
          <w:u w:val="single"/>
        </w:rPr>
        <w:t>5.1.1.1.2</w:t>
      </w:r>
      <w:r>
        <w:rPr>
          <w:color w:val="000000"/>
          <w:sz w:val="22"/>
          <w:szCs w:val="22"/>
          <w:u w:val="single"/>
        </w:rPr>
        <w:t xml:space="preserve"> Sistemas operacionais para processamento das informações nos equipamentos periféricos do sistema destinados à identificação dos veículos e terminais.</w:t>
      </w:r>
    </w:p>
    <w:p>
      <w:pPr>
        <w:pStyle w:val="Normal"/>
        <w:widowControl/>
        <w:suppressAutoHyphens w:val="true"/>
        <w:bidi w:val="0"/>
        <w:spacing w:before="0" w:after="120"/>
        <w:ind w:left="1701" w:right="0" w:hanging="0"/>
        <w:jc w:val="both"/>
        <w:rPr>
          <w:color w:val="000000"/>
          <w:sz w:val="22"/>
          <w:szCs w:val="22"/>
          <w:u w:val="single"/>
        </w:rPr>
      </w:pPr>
      <w:r>
        <w:rPr>
          <w:b/>
          <w:bCs/>
          <w:color w:val="000000"/>
          <w:sz w:val="22"/>
          <w:szCs w:val="22"/>
          <w:u w:val="single"/>
        </w:rPr>
        <w:t>5.1.1.1.3</w:t>
      </w:r>
      <w:r>
        <w:rPr>
          <w:color w:val="000000"/>
          <w:sz w:val="22"/>
          <w:szCs w:val="22"/>
          <w:u w:val="single"/>
        </w:rPr>
        <w:t xml:space="preserve"> Equipamentos periféricos e cartões eletrônicos do sistema destinados aos veículos, que viabilizem o gerenciamento de informações da frota, sendo um cartão para cada veículo da frota do IF Sertão-PE e um cartão para uso pelos motoristas, conforme lista e autorização expressa da Coordenação de Manutenção e Transporte e/ou DAP da Unidade do IF Sertão-PE;</w:t>
      </w:r>
    </w:p>
    <w:p>
      <w:pPr>
        <w:pStyle w:val="Normal"/>
        <w:widowControl/>
        <w:suppressAutoHyphens w:val="true"/>
        <w:bidi w:val="0"/>
        <w:spacing w:before="0" w:after="120"/>
        <w:ind w:left="1701" w:right="0" w:hanging="0"/>
        <w:jc w:val="both"/>
        <w:rPr>
          <w:color w:val="000000"/>
          <w:sz w:val="22"/>
          <w:szCs w:val="22"/>
          <w:u w:val="single"/>
        </w:rPr>
      </w:pPr>
      <w:r>
        <w:rPr>
          <w:b/>
          <w:bCs/>
          <w:color w:val="000000"/>
          <w:sz w:val="22"/>
          <w:szCs w:val="22"/>
          <w:u w:val="single"/>
        </w:rPr>
        <w:t>5.1.1.1.4</w:t>
      </w:r>
      <w:r>
        <w:rPr>
          <w:color w:val="000000"/>
          <w:sz w:val="22"/>
          <w:szCs w:val="22"/>
          <w:u w:val="single"/>
        </w:rPr>
        <w:t xml:space="preserve"> Processamento de dados de quilometragem, custos, identificação do veículo, identificação do portador e respectiva unidade de lotação, datas e horários de aplicação de insumos: tipos de combustíveis, lubrificantes, peças, competentes e serviços, manutenções, etc., a serem alimentados por meio eletrônico, com ou sem a participação humana, e em base gerencial de dados disponíveis para cada Unidade Gerencial.</w:t>
      </w:r>
    </w:p>
    <w:p>
      <w:pPr>
        <w:pStyle w:val="Normal"/>
        <w:widowControl/>
        <w:suppressAutoHyphens w:val="true"/>
        <w:bidi w:val="0"/>
        <w:spacing w:before="0" w:after="120"/>
        <w:ind w:left="1701" w:right="0" w:hanging="0"/>
        <w:jc w:val="both"/>
        <w:rPr>
          <w:color w:val="000000"/>
          <w:sz w:val="22"/>
          <w:szCs w:val="22"/>
          <w:u w:val="single"/>
        </w:rPr>
      </w:pPr>
      <w:r>
        <w:rPr>
          <w:b/>
          <w:bCs/>
          <w:color w:val="000000"/>
          <w:sz w:val="22"/>
          <w:szCs w:val="22"/>
          <w:u w:val="single"/>
        </w:rPr>
        <w:t>5.1.1.1.5</w:t>
      </w:r>
      <w:r>
        <w:rPr>
          <w:color w:val="000000"/>
          <w:sz w:val="22"/>
          <w:szCs w:val="22"/>
          <w:u w:val="single"/>
        </w:rPr>
        <w:t xml:space="preserve"> Processo de consolidação de dados e de emissão de relatórios para o IF Sertão-PE pela internet.</w:t>
      </w:r>
    </w:p>
    <w:p>
      <w:pPr>
        <w:pStyle w:val="Normal"/>
        <w:spacing w:before="0" w:after="120"/>
        <w:ind w:left="1922" w:hanging="0"/>
        <w:jc w:val="both"/>
        <w:rPr>
          <w:sz w:val="22"/>
          <w:szCs w:val="22"/>
          <w:u w:val="single"/>
        </w:rPr>
      </w:pPr>
      <w:r>
        <w:rPr>
          <w:sz w:val="22"/>
          <w:szCs w:val="22"/>
          <w:u w:val="single"/>
        </w:rPr>
      </w:r>
    </w:p>
    <w:p>
      <w:pPr>
        <w:pStyle w:val="Normal"/>
        <w:widowControl/>
        <w:suppressAutoHyphens w:val="true"/>
        <w:bidi w:val="0"/>
        <w:spacing w:before="0" w:after="120"/>
        <w:ind w:left="1134" w:right="0" w:hanging="0"/>
        <w:jc w:val="both"/>
        <w:rPr/>
      </w:pPr>
      <w:r>
        <w:rPr>
          <w:b/>
          <w:color w:val="000000"/>
          <w:sz w:val="22"/>
          <w:szCs w:val="22"/>
          <w:u w:val="single"/>
        </w:rPr>
        <w:t>5.1.1.2 Racionalização e controle de gastos com produtos e serviços aplicados aos veículos, incluindo:</w:t>
      </w:r>
    </w:p>
    <w:p>
      <w:pPr>
        <w:pStyle w:val="Normal"/>
        <w:widowControl/>
        <w:suppressAutoHyphens w:val="true"/>
        <w:bidi w:val="0"/>
        <w:spacing w:before="0" w:after="120"/>
        <w:ind w:left="1701" w:right="0" w:hanging="0"/>
        <w:jc w:val="both"/>
        <w:rPr/>
      </w:pPr>
      <w:r>
        <w:rPr>
          <w:b/>
          <w:bCs/>
          <w:color w:val="000000"/>
          <w:sz w:val="22"/>
          <w:szCs w:val="22"/>
          <w:u w:val="single"/>
        </w:rPr>
        <w:t xml:space="preserve">5.1.1.2.1 </w:t>
      </w:r>
      <w:r>
        <w:rPr>
          <w:color w:val="000000"/>
          <w:sz w:val="22"/>
          <w:szCs w:val="22"/>
          <w:u w:val="single"/>
        </w:rPr>
        <w:t>Combustíveis dos tipos: gasolina, etanol, diesel.</w:t>
      </w:r>
    </w:p>
    <w:p>
      <w:pPr>
        <w:pStyle w:val="Normal"/>
        <w:widowControl/>
        <w:suppressAutoHyphens w:val="true"/>
        <w:bidi w:val="0"/>
        <w:spacing w:before="0" w:after="120"/>
        <w:ind w:left="1701" w:right="0" w:hanging="0"/>
        <w:jc w:val="both"/>
        <w:rPr/>
      </w:pPr>
      <w:r>
        <w:rPr>
          <w:b/>
          <w:bCs/>
          <w:color w:val="000000"/>
          <w:sz w:val="22"/>
          <w:szCs w:val="22"/>
          <w:u w:val="single"/>
        </w:rPr>
        <w:t xml:space="preserve">5.1.1.2.2 </w:t>
      </w:r>
      <w:r>
        <w:rPr>
          <w:color w:val="000000"/>
          <w:sz w:val="22"/>
          <w:szCs w:val="22"/>
          <w:u w:val="single"/>
        </w:rPr>
        <w:t xml:space="preserve">Óleos lubrificantes para motores a gasolina, a etanol e a </w:t>
      </w:r>
      <w:r>
        <w:rPr>
          <w:sz w:val="22"/>
          <w:szCs w:val="22"/>
          <w:u w:val="single"/>
        </w:rPr>
        <w:t>diesel.</w:t>
      </w:r>
    </w:p>
    <w:p>
      <w:pPr>
        <w:pStyle w:val="Normal"/>
        <w:spacing w:before="0" w:after="120"/>
        <w:ind w:left="1922" w:hanging="0"/>
        <w:jc w:val="both"/>
        <w:rPr>
          <w:sz w:val="22"/>
          <w:szCs w:val="22"/>
          <w:u w:val="single"/>
        </w:rPr>
      </w:pPr>
      <w:r>
        <w:rPr>
          <w:sz w:val="22"/>
          <w:szCs w:val="22"/>
          <w:u w:val="single"/>
        </w:rPr>
      </w:r>
    </w:p>
    <w:p>
      <w:pPr>
        <w:pStyle w:val="Normal"/>
        <w:widowControl/>
        <w:suppressAutoHyphens w:val="true"/>
        <w:bidi w:val="0"/>
        <w:spacing w:before="0" w:after="120"/>
        <w:ind w:left="1134" w:right="0" w:hanging="0"/>
        <w:jc w:val="both"/>
        <w:rPr/>
      </w:pPr>
      <w:r>
        <w:rPr>
          <w:b/>
          <w:color w:val="000000"/>
          <w:sz w:val="22"/>
          <w:szCs w:val="22"/>
          <w:u w:val="single"/>
        </w:rPr>
        <w:t>5.1.1.3 Manutenção leve nos Postos de Atendimento, prevendo:</w:t>
      </w:r>
    </w:p>
    <w:p>
      <w:pPr>
        <w:pStyle w:val="Normal"/>
        <w:widowControl/>
        <w:suppressAutoHyphens w:val="true"/>
        <w:bidi w:val="0"/>
        <w:spacing w:before="0" w:after="120"/>
        <w:ind w:left="1701" w:right="0" w:hanging="0"/>
        <w:jc w:val="both"/>
        <w:rPr/>
      </w:pPr>
      <w:r>
        <w:rPr>
          <w:b/>
          <w:bCs/>
          <w:color w:val="000000"/>
          <w:sz w:val="22"/>
          <w:szCs w:val="22"/>
          <w:u w:val="single"/>
        </w:rPr>
        <w:t xml:space="preserve">5.1.1.3.1 </w:t>
      </w:r>
      <w:r>
        <w:rPr>
          <w:color w:val="000000"/>
          <w:sz w:val="22"/>
          <w:szCs w:val="22"/>
          <w:u w:val="single"/>
        </w:rPr>
        <w:t>Serviço de manutenção leve a ser realizado nos postos para realização de serviços excepcionais para troca e complemento de insumos necessários ao bom funcionamento do veículo para continuidade da viagem ou chegada ao local mais próximo e seguro para guarda do veículo. Contempla também o serviço de lavagem (lava a jato) para os veículos da frota.</w:t>
      </w:r>
    </w:p>
    <w:p>
      <w:pPr>
        <w:pStyle w:val="Normal"/>
        <w:spacing w:before="0" w:after="120"/>
        <w:ind w:left="1928" w:hanging="0"/>
        <w:jc w:val="both"/>
        <w:rPr>
          <w:color w:val="000000"/>
          <w:sz w:val="22"/>
          <w:szCs w:val="22"/>
          <w:u w:val="single"/>
        </w:rPr>
      </w:pPr>
      <w:r>
        <w:rPr>
          <w:color w:val="000000"/>
          <w:sz w:val="22"/>
          <w:szCs w:val="22"/>
          <w:u w:val="single"/>
        </w:rPr>
      </w:r>
    </w:p>
    <w:p>
      <w:pPr>
        <w:pStyle w:val="Normal"/>
        <w:widowControl/>
        <w:suppressAutoHyphens w:val="true"/>
        <w:bidi w:val="0"/>
        <w:spacing w:before="0" w:after="120"/>
        <w:ind w:left="1134" w:right="0" w:hanging="0"/>
        <w:jc w:val="both"/>
        <w:rPr/>
      </w:pPr>
      <w:r>
        <w:rPr>
          <w:b/>
          <w:color w:val="000000"/>
          <w:sz w:val="22"/>
          <w:szCs w:val="22"/>
          <w:u w:val="single"/>
        </w:rPr>
        <w:t>5.1.1.4</w:t>
      </w:r>
      <w:r>
        <w:rPr>
          <w:color w:val="000000"/>
          <w:sz w:val="22"/>
          <w:szCs w:val="22"/>
          <w:u w:val="single"/>
        </w:rPr>
        <w:t xml:space="preserve"> </w:t>
      </w:r>
      <w:r>
        <w:rPr>
          <w:b/>
          <w:color w:val="000000"/>
          <w:sz w:val="22"/>
          <w:szCs w:val="22"/>
          <w:u w:val="single"/>
        </w:rPr>
        <w:t xml:space="preserve">Manutenção automotiva preventiva e corretiva: </w:t>
      </w:r>
      <w:r>
        <w:rPr>
          <w:color w:val="000000"/>
          <w:sz w:val="22"/>
          <w:szCs w:val="22"/>
          <w:u w:val="single"/>
        </w:rPr>
        <w:t>contempla a realização de serviços, troca ou reparo de peças e demais componentes dos seguintes sistemas:</w:t>
      </w:r>
    </w:p>
    <w:p>
      <w:pPr>
        <w:pStyle w:val="Normal"/>
        <w:widowControl/>
        <w:suppressAutoHyphens w:val="true"/>
        <w:bidi w:val="0"/>
        <w:spacing w:before="0" w:after="120"/>
        <w:ind w:left="1701" w:right="0" w:hanging="0"/>
        <w:jc w:val="both"/>
        <w:rPr>
          <w:sz w:val="22"/>
          <w:szCs w:val="22"/>
          <w:u w:val="single"/>
        </w:rPr>
      </w:pPr>
      <w:r>
        <w:rPr>
          <w:b/>
          <w:bCs/>
          <w:color w:val="000000"/>
          <w:sz w:val="22"/>
          <w:szCs w:val="22"/>
          <w:u w:val="single"/>
        </w:rPr>
        <w:t xml:space="preserve">5.1.1.4.1 </w:t>
      </w:r>
      <w:r>
        <w:rPr>
          <w:color w:val="000000"/>
          <w:sz w:val="22"/>
          <w:szCs w:val="22"/>
          <w:u w:val="single"/>
        </w:rPr>
        <w:t>Serviço de manutenção mecânica e/ou elétrica em motor; sistema de embreagem; sistemas de alimentação e injeção eletrônica a diesel, a gasolina e a etanol; sistema de transmissão; sistema de direção; sistema de suspensão; sistema de freios; sistema de arrefecimento, ventilação; sistema de ar-condicionado; sistema elétrico em geral; sistema de escapamento e reposição emergencial de pneus; Sistema pneumático;</w:t>
      </w:r>
    </w:p>
    <w:p>
      <w:pPr>
        <w:pStyle w:val="Normal"/>
        <w:widowControl/>
        <w:suppressAutoHyphens w:val="true"/>
        <w:bidi w:val="0"/>
        <w:spacing w:before="0" w:after="120"/>
        <w:ind w:left="1701" w:right="0" w:hanging="0"/>
        <w:jc w:val="both"/>
        <w:rPr>
          <w:color w:val="000000"/>
          <w:sz w:val="22"/>
          <w:szCs w:val="22"/>
          <w:u w:val="single"/>
        </w:rPr>
      </w:pPr>
      <w:r>
        <w:rPr>
          <w:b/>
          <w:bCs/>
          <w:color w:val="000000"/>
          <w:sz w:val="22"/>
          <w:szCs w:val="22"/>
          <w:u w:val="single"/>
        </w:rPr>
        <w:t xml:space="preserve">5.1.1.4.2 </w:t>
      </w:r>
      <w:r>
        <w:rPr>
          <w:color w:val="000000"/>
          <w:sz w:val="22"/>
          <w:szCs w:val="22"/>
          <w:u w:val="single"/>
        </w:rPr>
        <w:t>Serviço de funilaria, lanternagem e pintura em geral;</w:t>
      </w:r>
    </w:p>
    <w:p>
      <w:pPr>
        <w:pStyle w:val="Normal"/>
        <w:widowControl/>
        <w:suppressAutoHyphens w:val="true"/>
        <w:bidi w:val="0"/>
        <w:spacing w:before="0" w:after="120"/>
        <w:ind w:left="1701" w:right="0" w:hanging="0"/>
        <w:jc w:val="both"/>
        <w:rPr>
          <w:color w:val="000000"/>
          <w:sz w:val="22"/>
          <w:szCs w:val="22"/>
          <w:u w:val="single"/>
        </w:rPr>
      </w:pPr>
      <w:r>
        <w:rPr>
          <w:b/>
          <w:bCs/>
          <w:color w:val="000000"/>
          <w:sz w:val="22"/>
          <w:szCs w:val="22"/>
          <w:u w:val="single"/>
        </w:rPr>
        <w:t>5.1.1.4.3</w:t>
      </w:r>
      <w:r>
        <w:rPr>
          <w:color w:val="000000"/>
          <w:sz w:val="22"/>
          <w:szCs w:val="22"/>
          <w:u w:val="single"/>
        </w:rPr>
        <w:t xml:space="preserve"> Serviço de retífica.</w:t>
      </w:r>
    </w:p>
    <w:p>
      <w:pPr>
        <w:pStyle w:val="Normal"/>
        <w:widowControl/>
        <w:suppressAutoHyphens w:val="true"/>
        <w:bidi w:val="0"/>
        <w:spacing w:before="0" w:after="120"/>
        <w:ind w:left="1701" w:right="0" w:hanging="0"/>
        <w:jc w:val="both"/>
        <w:rPr>
          <w:color w:val="000000"/>
          <w:sz w:val="22"/>
          <w:szCs w:val="22"/>
          <w:u w:val="single"/>
        </w:rPr>
      </w:pPr>
      <w:r>
        <w:rPr>
          <w:b/>
          <w:bCs/>
          <w:color w:val="000000"/>
          <w:sz w:val="22"/>
          <w:szCs w:val="22"/>
          <w:u w:val="single"/>
        </w:rPr>
        <w:t>5.1.1.4.4</w:t>
      </w:r>
      <w:r>
        <w:rPr>
          <w:color w:val="000000"/>
          <w:sz w:val="22"/>
          <w:szCs w:val="22"/>
          <w:u w:val="single"/>
        </w:rPr>
        <w:t xml:space="preserve"> Acessórios e equipamentos de segurança e porte obrigatório;</w:t>
      </w:r>
    </w:p>
    <w:p>
      <w:pPr>
        <w:pStyle w:val="Normal"/>
        <w:widowControl/>
        <w:suppressAutoHyphens w:val="true"/>
        <w:bidi w:val="0"/>
        <w:spacing w:before="0" w:after="120"/>
        <w:ind w:left="1701" w:right="0" w:hanging="0"/>
        <w:jc w:val="both"/>
        <w:rPr>
          <w:sz w:val="22"/>
          <w:szCs w:val="22"/>
          <w:u w:val="single"/>
        </w:rPr>
      </w:pPr>
      <w:r>
        <w:rPr>
          <w:b/>
          <w:bCs/>
          <w:color w:val="000000"/>
          <w:sz w:val="22"/>
          <w:szCs w:val="22"/>
          <w:u w:val="single"/>
        </w:rPr>
        <w:t>5.1.1.4.5</w:t>
      </w:r>
      <w:r>
        <w:rPr>
          <w:color w:val="000000"/>
          <w:sz w:val="22"/>
          <w:szCs w:val="22"/>
          <w:u w:val="single"/>
        </w:rPr>
        <w:t xml:space="preserve"> E demais sistemas necessários para a manutenção e/ou correção visando o pleno funcionamento e atendimento às normas legais de segurança para tráfego de veículo</w:t>
      </w:r>
    </w:p>
    <w:p>
      <w:pPr>
        <w:pStyle w:val="Normal"/>
        <w:spacing w:before="0" w:after="120"/>
        <w:ind w:left="1928" w:hanging="0"/>
        <w:jc w:val="both"/>
        <w:rPr>
          <w:color w:val="000000"/>
          <w:sz w:val="22"/>
          <w:szCs w:val="22"/>
          <w:u w:val="single"/>
        </w:rPr>
      </w:pPr>
      <w:r>
        <w:rPr>
          <w:color w:val="000000"/>
          <w:sz w:val="22"/>
          <w:szCs w:val="22"/>
          <w:u w:val="single"/>
        </w:rPr>
      </w:r>
    </w:p>
    <w:p>
      <w:pPr>
        <w:pStyle w:val="Normal"/>
        <w:widowControl/>
        <w:suppressAutoHyphens w:val="true"/>
        <w:bidi w:val="0"/>
        <w:spacing w:lineRule="auto" w:line="276" w:before="120" w:after="120"/>
        <w:ind w:left="1134" w:right="0" w:hanging="0"/>
        <w:jc w:val="both"/>
        <w:rPr/>
      </w:pPr>
      <w:r>
        <w:rPr>
          <w:b/>
          <w:color w:val="000000"/>
          <w:sz w:val="22"/>
          <w:szCs w:val="22"/>
          <w:u w:val="single"/>
        </w:rPr>
        <w:t>5.1.1.5 Alinhamento e balanceamento diversos:</w:t>
      </w:r>
    </w:p>
    <w:p>
      <w:pPr>
        <w:pStyle w:val="Normal"/>
        <w:widowControl/>
        <w:suppressAutoHyphens w:val="true"/>
        <w:bidi w:val="0"/>
        <w:ind w:left="1701" w:right="0" w:hanging="0"/>
        <w:rPr>
          <w:sz w:val="22"/>
          <w:szCs w:val="22"/>
          <w:u w:val="single"/>
        </w:rPr>
      </w:pPr>
      <w:r>
        <w:rPr>
          <w:b/>
          <w:bCs/>
          <w:color w:val="000000"/>
          <w:sz w:val="22"/>
          <w:szCs w:val="22"/>
          <w:u w:val="single"/>
        </w:rPr>
        <w:t xml:space="preserve">5.1.1.5.1 </w:t>
      </w:r>
      <w:r>
        <w:rPr>
          <w:color w:val="000000"/>
          <w:sz w:val="22"/>
          <w:szCs w:val="22"/>
          <w:u w:val="single"/>
        </w:rPr>
        <w:t>Serviços de alinhamento de direção;</w:t>
      </w:r>
    </w:p>
    <w:p>
      <w:pPr>
        <w:pStyle w:val="Normal"/>
        <w:widowControl/>
        <w:suppressAutoHyphens w:val="true"/>
        <w:bidi w:val="0"/>
        <w:ind w:left="1701" w:right="0" w:hanging="0"/>
        <w:rPr>
          <w:sz w:val="22"/>
          <w:szCs w:val="22"/>
          <w:u w:val="single"/>
        </w:rPr>
      </w:pPr>
      <w:r>
        <w:rPr>
          <w:b/>
          <w:bCs/>
          <w:color w:val="000000"/>
          <w:sz w:val="22"/>
          <w:szCs w:val="22"/>
          <w:u w:val="single"/>
        </w:rPr>
        <w:t>5.1.1.5.2</w:t>
      </w:r>
      <w:r>
        <w:rPr>
          <w:color w:val="000000"/>
          <w:sz w:val="22"/>
          <w:szCs w:val="22"/>
          <w:u w:val="single"/>
        </w:rPr>
        <w:t xml:space="preserve"> Serviços de balanceamento de rodas;</w:t>
      </w:r>
    </w:p>
    <w:p>
      <w:pPr>
        <w:pStyle w:val="Normal"/>
        <w:widowControl/>
        <w:suppressAutoHyphens w:val="true"/>
        <w:bidi w:val="0"/>
        <w:ind w:left="1701" w:right="0" w:hanging="0"/>
        <w:rPr>
          <w:sz w:val="22"/>
          <w:szCs w:val="22"/>
          <w:u w:val="single"/>
        </w:rPr>
      </w:pPr>
      <w:r>
        <w:rPr>
          <w:b/>
          <w:bCs/>
          <w:color w:val="000000"/>
          <w:sz w:val="22"/>
          <w:szCs w:val="22"/>
          <w:u w:val="single"/>
        </w:rPr>
        <w:t>5.1.1.5.3</w:t>
      </w:r>
      <w:r>
        <w:rPr>
          <w:color w:val="000000"/>
          <w:sz w:val="22"/>
          <w:szCs w:val="22"/>
          <w:u w:val="single"/>
        </w:rPr>
        <w:t xml:space="preserve"> Serviços de cambagem, cárter e convergência;</w:t>
      </w:r>
    </w:p>
    <w:p>
      <w:pPr>
        <w:pStyle w:val="Normal"/>
        <w:widowControl/>
        <w:suppressAutoHyphens w:val="true"/>
        <w:bidi w:val="0"/>
        <w:ind w:left="1701" w:right="0" w:hanging="0"/>
        <w:rPr>
          <w:sz w:val="22"/>
          <w:szCs w:val="22"/>
          <w:u w:val="single"/>
        </w:rPr>
      </w:pPr>
      <w:r>
        <w:rPr>
          <w:b/>
          <w:bCs/>
          <w:color w:val="000000"/>
          <w:sz w:val="22"/>
          <w:szCs w:val="22"/>
          <w:u w:val="single"/>
        </w:rPr>
        <w:t>5.1.1.5.4</w:t>
      </w:r>
      <w:r>
        <w:rPr>
          <w:color w:val="000000"/>
          <w:sz w:val="22"/>
          <w:szCs w:val="22"/>
          <w:u w:val="single"/>
        </w:rPr>
        <w:t xml:space="preserve"> Serviços de troca e remendo de pneus;</w:t>
      </w:r>
    </w:p>
    <w:p>
      <w:pPr>
        <w:pStyle w:val="Normal"/>
        <w:widowControl/>
        <w:suppressAutoHyphens w:val="true"/>
        <w:bidi w:val="0"/>
        <w:spacing w:before="0" w:after="120"/>
        <w:ind w:left="1701" w:right="0" w:hanging="0"/>
        <w:jc w:val="both"/>
        <w:rPr>
          <w:b/>
          <w:b/>
          <w:color w:val="000000"/>
          <w:sz w:val="22"/>
          <w:szCs w:val="22"/>
          <w:u w:val="single"/>
        </w:rPr>
      </w:pPr>
      <w:r>
        <w:rPr>
          <w:b/>
          <w:bCs/>
          <w:color w:val="000000"/>
          <w:sz w:val="22"/>
          <w:szCs w:val="22"/>
          <w:u w:val="single"/>
        </w:rPr>
        <w:t>5.1.1.5.1</w:t>
      </w:r>
      <w:r>
        <w:rPr>
          <w:color w:val="000000"/>
          <w:sz w:val="22"/>
          <w:szCs w:val="22"/>
          <w:u w:val="single"/>
        </w:rPr>
        <w:t xml:space="preserve"> Serviços de desempenho de rodas</w:t>
      </w:r>
    </w:p>
    <w:p>
      <w:pPr>
        <w:pStyle w:val="Normal"/>
        <w:widowControl/>
        <w:numPr>
          <w:ilvl w:val="2"/>
          <w:numId w:val="6"/>
        </w:numPr>
        <w:suppressAutoHyphens w:val="true"/>
        <w:bidi w:val="0"/>
        <w:spacing w:lineRule="auto" w:line="276" w:before="120" w:after="120"/>
        <w:ind w:left="567" w:right="-170" w:hanging="0"/>
        <w:jc w:val="both"/>
        <w:rPr/>
      </w:pPr>
      <w:r>
        <w:rPr>
          <w:i/>
          <w:color w:val="000000"/>
          <w:sz w:val="22"/>
          <w:szCs w:val="22"/>
        </w:rPr>
        <w:t xml:space="preserve"> </w:t>
      </w:r>
      <w:r>
        <w:rPr>
          <w:color w:val="000000"/>
          <w:sz w:val="22"/>
          <w:szCs w:val="22"/>
        </w:rPr>
        <w:t xml:space="preserve">Os critérios e práticas de sustentabilidade encontram-se pormenorizadas no Tópico 14 do Estudo Técnico Preliminar, para isso a licitante deverá apresentar Declaração de Atendimento aos Critérios de Sustentabilidade Ambiental de acordo </w:t>
      </w:r>
      <w:r>
        <w:rPr>
          <w:sz w:val="22"/>
          <w:szCs w:val="22"/>
        </w:rPr>
        <w:t xml:space="preserve">com o modelo </w:t>
      </w:r>
      <w:r>
        <w:rPr>
          <w:b/>
          <w:sz w:val="22"/>
          <w:szCs w:val="22"/>
        </w:rPr>
        <w:t>Anexo V</w:t>
      </w:r>
      <w:r>
        <w:rPr>
          <w:sz w:val="22"/>
          <w:szCs w:val="22"/>
        </w:rPr>
        <w:t xml:space="preserve"> </w:t>
      </w:r>
      <w:r>
        <w:rPr>
          <w:b/>
          <w:sz w:val="22"/>
          <w:szCs w:val="22"/>
        </w:rPr>
        <w:t>do Edital</w:t>
      </w:r>
      <w:r>
        <w:rPr>
          <w:color w:val="000000"/>
          <w:sz w:val="22"/>
          <w:szCs w:val="22"/>
        </w:rPr>
        <w:t xml:space="preserve"> e conforme a Instrução Normativa n° 01/2010 da SLTI/MPOG.</w:t>
      </w:r>
    </w:p>
    <w:p>
      <w:pPr>
        <w:pStyle w:val="Normal"/>
        <w:widowControl/>
        <w:numPr>
          <w:ilvl w:val="2"/>
          <w:numId w:val="6"/>
        </w:numPr>
        <w:suppressAutoHyphens w:val="true"/>
        <w:bidi w:val="0"/>
        <w:spacing w:before="0" w:after="120"/>
        <w:ind w:left="567" w:right="0" w:hanging="0"/>
        <w:jc w:val="both"/>
        <w:rPr/>
      </w:pPr>
      <w:r>
        <w:rPr>
          <w:color w:val="000000"/>
          <w:sz w:val="22"/>
          <w:szCs w:val="22"/>
        </w:rPr>
        <w:t xml:space="preserve"> </w:t>
      </w:r>
      <w:r>
        <w:rPr>
          <w:color w:val="000000"/>
          <w:sz w:val="22"/>
          <w:szCs w:val="22"/>
        </w:rPr>
        <w:t xml:space="preserve">A duração do contrato será de 12(doze) meses prorrogável por igual período. </w:t>
      </w:r>
    </w:p>
    <w:p>
      <w:pPr>
        <w:pStyle w:val="Normal"/>
        <w:widowControl/>
        <w:numPr>
          <w:ilvl w:val="1"/>
          <w:numId w:val="6"/>
        </w:numPr>
        <w:suppressAutoHyphens w:val="true"/>
        <w:bidi w:val="0"/>
        <w:spacing w:before="0" w:after="120"/>
        <w:ind w:left="0" w:right="0" w:hanging="0"/>
        <w:jc w:val="both"/>
        <w:rPr/>
      </w:pPr>
      <w:r>
        <w:rPr>
          <w:color w:val="000000"/>
          <w:sz w:val="22"/>
          <w:szCs w:val="22"/>
        </w:rPr>
        <w:t>Declaração do licitante, classificado em primeiro lugar, de que tem pleno conhecimento das condições necessárias para a prestação do serviço.</w:t>
      </w:r>
    </w:p>
    <w:p>
      <w:pPr>
        <w:pStyle w:val="Normal"/>
        <w:widowControl/>
        <w:numPr>
          <w:ilvl w:val="1"/>
          <w:numId w:val="6"/>
        </w:numPr>
        <w:suppressAutoHyphens w:val="true"/>
        <w:bidi w:val="0"/>
        <w:spacing w:before="0" w:after="120"/>
        <w:ind w:left="0" w:right="0" w:hanging="0"/>
        <w:jc w:val="both"/>
        <w:rPr>
          <w:sz w:val="22"/>
          <w:szCs w:val="22"/>
        </w:rPr>
      </w:pPr>
      <w:r>
        <w:rPr>
          <w:color w:val="000000"/>
          <w:sz w:val="22"/>
          <w:szCs w:val="22"/>
        </w:rPr>
        <w:t xml:space="preserve">As obrigações da Contratada </w:t>
      </w:r>
      <w:r>
        <w:rPr>
          <w:sz w:val="22"/>
          <w:szCs w:val="22"/>
        </w:rPr>
        <w:t>e do Contratante</w:t>
      </w:r>
      <w:r>
        <w:rPr>
          <w:color w:val="000000"/>
          <w:sz w:val="22"/>
          <w:szCs w:val="22"/>
        </w:rPr>
        <w:t xml:space="preserve"> estão previstas neste Termo de Referência.</w:t>
      </w:r>
    </w:p>
    <w:p>
      <w:pPr>
        <w:pStyle w:val="Normal"/>
        <w:widowControl/>
        <w:numPr>
          <w:ilvl w:val="1"/>
          <w:numId w:val="6"/>
        </w:numPr>
        <w:suppressAutoHyphens w:val="true"/>
        <w:bidi w:val="0"/>
        <w:spacing w:before="0" w:after="120"/>
        <w:ind w:left="0" w:right="0" w:hanging="0"/>
        <w:jc w:val="both"/>
        <w:rPr>
          <w:sz w:val="22"/>
          <w:szCs w:val="22"/>
        </w:rPr>
      </w:pPr>
      <w:r>
        <w:rPr>
          <w:sz w:val="22"/>
          <w:szCs w:val="22"/>
        </w:rPr>
        <w:t>Os serviços serão executados para todas as Unidades do IFSertãoPE com os seguintes endereços:</w:t>
      </w:r>
    </w:p>
    <w:p>
      <w:pPr>
        <w:pStyle w:val="Normal"/>
        <w:widowControl/>
        <w:suppressAutoHyphens w:val="true"/>
        <w:bidi w:val="0"/>
        <w:ind w:left="567" w:right="0" w:hanging="0"/>
        <w:jc w:val="both"/>
        <w:rPr>
          <w:b/>
          <w:b/>
          <w:sz w:val="22"/>
          <w:szCs w:val="22"/>
        </w:rPr>
      </w:pPr>
      <w:r>
        <w:rPr>
          <w:b/>
          <w:bCs/>
          <w:sz w:val="22"/>
          <w:szCs w:val="22"/>
        </w:rPr>
        <w:t>5.4.1.</w:t>
      </w:r>
      <w:r>
        <w:rPr>
          <w:sz w:val="22"/>
          <w:szCs w:val="22"/>
        </w:rPr>
        <w:t xml:space="preserve"> Instituto Federal de Educação, Ciência e Tecnologia Sertão Pernambucano,</w:t>
      </w:r>
      <w:r>
        <w:rPr>
          <w:b/>
          <w:sz w:val="22"/>
          <w:szCs w:val="22"/>
        </w:rPr>
        <w:t xml:space="preserve"> </w:t>
      </w:r>
      <w:r>
        <w:rPr>
          <w:b/>
          <w:i/>
          <w:sz w:val="22"/>
          <w:szCs w:val="22"/>
        </w:rPr>
        <w:t xml:space="preserve">campus </w:t>
      </w:r>
      <w:r>
        <w:rPr>
          <w:b/>
          <w:sz w:val="22"/>
          <w:szCs w:val="22"/>
        </w:rPr>
        <w:t xml:space="preserve">Petrolina. </w:t>
      </w:r>
    </w:p>
    <w:p>
      <w:pPr>
        <w:pStyle w:val="Normal"/>
        <w:widowControl/>
        <w:suppressAutoHyphens w:val="true"/>
        <w:bidi w:val="0"/>
        <w:ind w:left="567" w:right="0" w:hanging="0"/>
        <w:jc w:val="both"/>
        <w:rPr>
          <w:b/>
          <w:b/>
          <w:sz w:val="22"/>
          <w:szCs w:val="22"/>
        </w:rPr>
      </w:pPr>
      <w:r>
        <w:rPr>
          <w:b/>
          <w:sz w:val="22"/>
          <w:szCs w:val="22"/>
        </w:rPr>
      </w:r>
    </w:p>
    <w:p>
      <w:pPr>
        <w:pStyle w:val="Normal"/>
        <w:widowControl/>
        <w:suppressAutoHyphens w:val="true"/>
        <w:bidi w:val="0"/>
        <w:ind w:left="567" w:right="0" w:hanging="0"/>
        <w:jc w:val="both"/>
        <w:rPr>
          <w:b/>
          <w:b/>
          <w:sz w:val="22"/>
          <w:szCs w:val="22"/>
        </w:rPr>
      </w:pPr>
      <w:r>
        <w:rPr>
          <w:b/>
          <w:sz w:val="22"/>
          <w:szCs w:val="22"/>
        </w:rPr>
        <w:t xml:space="preserve">Endereço: </w:t>
      </w:r>
      <w:r>
        <w:rPr>
          <w:sz w:val="22"/>
          <w:szCs w:val="22"/>
        </w:rPr>
        <w:t>rua Maria Luzia de Araújo Gomes Cabral, SN, Bairro João de Deus, CEP 56316-686, Petrolina-PE.</w:t>
      </w:r>
      <w:r>
        <w:rPr>
          <w:b/>
          <w:sz w:val="22"/>
          <w:szCs w:val="22"/>
        </w:rPr>
        <w:t xml:space="preserve"> Telefone: (87) 2101-4300</w:t>
      </w:r>
    </w:p>
    <w:p>
      <w:pPr>
        <w:pStyle w:val="Normal"/>
        <w:widowControl/>
        <w:suppressAutoHyphens w:val="true"/>
        <w:bidi w:val="0"/>
        <w:spacing w:before="240" w:after="0"/>
        <w:ind w:left="567" w:right="0" w:hanging="0"/>
        <w:jc w:val="both"/>
        <w:rPr>
          <w:b/>
          <w:b/>
          <w:sz w:val="22"/>
          <w:szCs w:val="22"/>
        </w:rPr>
      </w:pPr>
      <w:r>
        <w:rPr>
          <w:b/>
          <w:bCs/>
          <w:sz w:val="22"/>
          <w:szCs w:val="22"/>
        </w:rPr>
        <w:t xml:space="preserve">5.4.2. </w:t>
      </w:r>
      <w:r>
        <w:rPr>
          <w:sz w:val="22"/>
          <w:szCs w:val="22"/>
        </w:rPr>
        <w:t>Instituto Federal de Educação, Ciência e Tecnologia Sertão Pernambucano</w:t>
      </w:r>
      <w:r>
        <w:rPr>
          <w:b/>
          <w:sz w:val="22"/>
          <w:szCs w:val="22"/>
        </w:rPr>
        <w:t xml:space="preserve">, </w:t>
      </w:r>
      <w:r>
        <w:rPr>
          <w:b/>
          <w:i/>
          <w:sz w:val="22"/>
          <w:szCs w:val="22"/>
        </w:rPr>
        <w:t>campus</w:t>
      </w:r>
      <w:r>
        <w:rPr>
          <w:b/>
          <w:sz w:val="22"/>
          <w:szCs w:val="22"/>
        </w:rPr>
        <w:t xml:space="preserve"> Petrolina Zona Rural.</w:t>
      </w:r>
    </w:p>
    <w:p>
      <w:pPr>
        <w:pStyle w:val="Normal"/>
        <w:widowControl/>
        <w:suppressAutoHyphens w:val="true"/>
        <w:bidi w:val="0"/>
        <w:spacing w:before="240" w:after="0"/>
        <w:ind w:left="567" w:right="0" w:hanging="0"/>
        <w:jc w:val="both"/>
        <w:rPr>
          <w:b/>
          <w:b/>
          <w:sz w:val="22"/>
          <w:szCs w:val="22"/>
        </w:rPr>
      </w:pPr>
      <w:r>
        <w:rPr>
          <w:b/>
          <w:sz w:val="22"/>
          <w:szCs w:val="22"/>
        </w:rPr>
        <w:t xml:space="preserve">Endereço: </w:t>
      </w:r>
      <w:r>
        <w:rPr>
          <w:sz w:val="22"/>
          <w:szCs w:val="22"/>
        </w:rPr>
        <w:t>Rodovia BR 235, Km 22, Projeto Senador Nilo Coelho N4, Petrolina-PE.</w:t>
      </w:r>
      <w:r>
        <w:rPr>
          <w:b/>
          <w:sz w:val="22"/>
          <w:szCs w:val="22"/>
        </w:rPr>
        <w:t xml:space="preserve"> Telefone: (87) 2101-8050</w:t>
      </w:r>
    </w:p>
    <w:p>
      <w:pPr>
        <w:pStyle w:val="Normal"/>
        <w:widowControl/>
        <w:suppressAutoHyphens w:val="true"/>
        <w:bidi w:val="0"/>
        <w:spacing w:before="240" w:after="0"/>
        <w:ind w:left="567" w:right="0" w:hanging="0"/>
        <w:jc w:val="both"/>
        <w:rPr>
          <w:sz w:val="22"/>
          <w:szCs w:val="22"/>
        </w:rPr>
      </w:pPr>
      <w:r>
        <w:rPr>
          <w:b/>
          <w:bCs/>
          <w:sz w:val="22"/>
          <w:szCs w:val="22"/>
        </w:rPr>
        <w:t>5.4.3.</w:t>
      </w:r>
      <w:r>
        <w:rPr>
          <w:sz w:val="22"/>
          <w:szCs w:val="22"/>
        </w:rPr>
        <w:t xml:space="preserve"> Instituto Federal de Educação, Ciência e Tecnologia Sertão Pernambucano, Reitoria.</w:t>
      </w:r>
    </w:p>
    <w:p>
      <w:pPr>
        <w:pStyle w:val="Normal"/>
        <w:widowControl/>
        <w:suppressAutoHyphens w:val="true"/>
        <w:bidi w:val="0"/>
        <w:spacing w:before="240" w:after="0"/>
        <w:ind w:left="567" w:right="0" w:hanging="0"/>
        <w:jc w:val="both"/>
        <w:rPr>
          <w:sz w:val="22"/>
          <w:szCs w:val="22"/>
        </w:rPr>
      </w:pPr>
      <w:r>
        <w:rPr>
          <w:b/>
          <w:sz w:val="22"/>
          <w:szCs w:val="22"/>
        </w:rPr>
        <w:t>Endereço:</w:t>
      </w:r>
      <w:r>
        <w:rPr>
          <w:sz w:val="22"/>
          <w:szCs w:val="22"/>
        </w:rPr>
        <w:t xml:space="preserve"> rua Aristarco Lopes, 240, Centro, Petrolina-PE.</w:t>
      </w:r>
      <w:r>
        <w:rPr>
          <w:b/>
          <w:sz w:val="22"/>
          <w:szCs w:val="22"/>
        </w:rPr>
        <w:t xml:space="preserve"> Telefone: (87) 2101-2350</w:t>
      </w:r>
    </w:p>
    <w:p>
      <w:pPr>
        <w:pStyle w:val="Normal"/>
        <w:widowControl/>
        <w:suppressAutoHyphens w:val="true"/>
        <w:bidi w:val="0"/>
        <w:spacing w:before="240" w:after="0"/>
        <w:ind w:left="567" w:right="0" w:hanging="0"/>
        <w:jc w:val="both"/>
        <w:rPr>
          <w:b/>
          <w:b/>
          <w:sz w:val="22"/>
          <w:szCs w:val="22"/>
        </w:rPr>
      </w:pPr>
      <w:r>
        <w:rPr>
          <w:b/>
          <w:bCs/>
          <w:sz w:val="22"/>
          <w:szCs w:val="22"/>
        </w:rPr>
        <w:t>5.4.4. I</w:t>
      </w:r>
      <w:r>
        <w:rPr>
          <w:sz w:val="22"/>
          <w:szCs w:val="22"/>
        </w:rPr>
        <w:t>nstituto Federal de Educação, Ciência e Tecnologia Sertão Pernambucano,</w:t>
      </w:r>
      <w:r>
        <w:rPr>
          <w:b/>
          <w:sz w:val="22"/>
          <w:szCs w:val="22"/>
        </w:rPr>
        <w:t xml:space="preserve"> </w:t>
      </w:r>
      <w:r>
        <w:rPr>
          <w:b/>
          <w:i/>
          <w:sz w:val="22"/>
          <w:szCs w:val="22"/>
        </w:rPr>
        <w:t>campus</w:t>
      </w:r>
      <w:r>
        <w:rPr>
          <w:b/>
          <w:sz w:val="22"/>
          <w:szCs w:val="22"/>
        </w:rPr>
        <w:t xml:space="preserve"> Ouricuri. </w:t>
      </w:r>
    </w:p>
    <w:p>
      <w:pPr>
        <w:pStyle w:val="Normal"/>
        <w:widowControl/>
        <w:suppressAutoHyphens w:val="true"/>
        <w:bidi w:val="0"/>
        <w:spacing w:before="240" w:after="0"/>
        <w:ind w:left="567" w:right="0" w:hanging="0"/>
        <w:jc w:val="both"/>
        <w:rPr>
          <w:sz w:val="22"/>
          <w:szCs w:val="22"/>
        </w:rPr>
      </w:pPr>
      <w:r>
        <w:rPr>
          <w:b/>
          <w:sz w:val="22"/>
          <w:szCs w:val="22"/>
        </w:rPr>
        <w:t xml:space="preserve">Endereço: </w:t>
      </w:r>
      <w:r>
        <w:rPr>
          <w:sz w:val="22"/>
          <w:szCs w:val="22"/>
        </w:rPr>
        <w:t xml:space="preserve">Estrada do Tamboril, S/N. CEP: 56200-000 | Ouricuri/PE – Brasil. </w:t>
      </w:r>
      <w:r>
        <w:rPr>
          <w:b/>
          <w:sz w:val="22"/>
          <w:szCs w:val="22"/>
        </w:rPr>
        <w:t>Telefone: (87) 98122-4083</w:t>
      </w:r>
    </w:p>
    <w:p>
      <w:pPr>
        <w:pStyle w:val="Normal"/>
        <w:widowControl/>
        <w:suppressAutoHyphens w:val="true"/>
        <w:bidi w:val="0"/>
        <w:spacing w:before="240" w:after="0"/>
        <w:ind w:left="567" w:right="0" w:hanging="0"/>
        <w:jc w:val="both"/>
        <w:rPr>
          <w:b/>
          <w:b/>
          <w:sz w:val="22"/>
          <w:szCs w:val="22"/>
        </w:rPr>
      </w:pPr>
      <w:r>
        <w:rPr>
          <w:b/>
          <w:bCs/>
          <w:sz w:val="22"/>
          <w:szCs w:val="22"/>
        </w:rPr>
        <w:t>5.4.5.</w:t>
      </w:r>
      <w:r>
        <w:rPr>
          <w:b/>
          <w:sz w:val="22"/>
          <w:szCs w:val="22"/>
        </w:rPr>
        <w:t xml:space="preserve"> </w:t>
      </w:r>
      <w:r>
        <w:rPr>
          <w:sz w:val="22"/>
          <w:szCs w:val="22"/>
        </w:rPr>
        <w:t>Instituto Federal de Educação, Ciência e Tecnologia Sertão Pernambucano</w:t>
      </w:r>
      <w:r>
        <w:rPr>
          <w:i/>
          <w:sz w:val="22"/>
          <w:szCs w:val="22"/>
        </w:rPr>
        <w:t>,</w:t>
      </w:r>
      <w:r>
        <w:rPr>
          <w:b/>
          <w:i/>
          <w:sz w:val="22"/>
          <w:szCs w:val="22"/>
        </w:rPr>
        <w:t xml:space="preserve"> campus</w:t>
      </w:r>
      <w:r>
        <w:rPr>
          <w:b/>
          <w:sz w:val="22"/>
          <w:szCs w:val="22"/>
        </w:rPr>
        <w:t xml:space="preserve"> Floresta.</w:t>
      </w:r>
    </w:p>
    <w:p>
      <w:pPr>
        <w:pStyle w:val="Normal"/>
        <w:widowControl/>
        <w:suppressAutoHyphens w:val="true"/>
        <w:bidi w:val="0"/>
        <w:spacing w:before="240" w:after="0"/>
        <w:ind w:left="567" w:right="0" w:hanging="0"/>
        <w:jc w:val="both"/>
        <w:rPr>
          <w:b/>
          <w:b/>
          <w:sz w:val="22"/>
          <w:szCs w:val="22"/>
        </w:rPr>
      </w:pPr>
      <w:r>
        <w:rPr>
          <w:b/>
          <w:sz w:val="22"/>
          <w:szCs w:val="22"/>
        </w:rPr>
        <w:t>Endereço:</w:t>
      </w:r>
      <w:r>
        <w:rPr>
          <w:sz w:val="22"/>
          <w:szCs w:val="22"/>
        </w:rPr>
        <w:t xml:space="preserve"> Rua Projetada, S/N, Caetano II - N4. CEP: 56400-000 | Floresta/PE – Brasil. </w:t>
      </w:r>
      <w:r>
        <w:rPr>
          <w:b/>
          <w:sz w:val="22"/>
          <w:szCs w:val="22"/>
        </w:rPr>
        <w:t>Telefone:</w:t>
      </w:r>
      <w:r>
        <w:rPr>
          <w:b/>
          <w:color w:val="FF0000"/>
          <w:sz w:val="22"/>
          <w:szCs w:val="22"/>
        </w:rPr>
        <w:t xml:space="preserve"> </w:t>
      </w:r>
      <w:r>
        <w:rPr>
          <w:b/>
          <w:sz w:val="22"/>
          <w:szCs w:val="22"/>
        </w:rPr>
        <w:t>(87) 3877- 2797.</w:t>
      </w:r>
    </w:p>
    <w:p>
      <w:pPr>
        <w:pStyle w:val="Normal"/>
        <w:widowControl/>
        <w:suppressAutoHyphens w:val="true"/>
        <w:bidi w:val="0"/>
        <w:spacing w:before="240" w:after="0"/>
        <w:ind w:left="567" w:right="0" w:hanging="0"/>
        <w:jc w:val="both"/>
        <w:rPr>
          <w:b/>
          <w:b/>
          <w:sz w:val="22"/>
          <w:szCs w:val="22"/>
        </w:rPr>
      </w:pPr>
      <w:r>
        <w:rPr>
          <w:b/>
          <w:bCs/>
          <w:sz w:val="22"/>
          <w:szCs w:val="22"/>
        </w:rPr>
        <w:t xml:space="preserve">5.4.6. </w:t>
      </w:r>
      <w:r>
        <w:rPr>
          <w:sz w:val="22"/>
          <w:szCs w:val="22"/>
        </w:rPr>
        <w:t>Instituto Federal de Educação, Ciência e Tecnologia Sertão Pernambucano,</w:t>
      </w:r>
      <w:r>
        <w:rPr>
          <w:b/>
          <w:sz w:val="22"/>
          <w:szCs w:val="22"/>
        </w:rPr>
        <w:t xml:space="preserve"> </w:t>
      </w:r>
      <w:r>
        <w:rPr>
          <w:b/>
          <w:i/>
          <w:sz w:val="22"/>
          <w:szCs w:val="22"/>
        </w:rPr>
        <w:t>campus</w:t>
      </w:r>
      <w:r>
        <w:rPr>
          <w:b/>
          <w:sz w:val="22"/>
          <w:szCs w:val="22"/>
        </w:rPr>
        <w:t xml:space="preserve"> Salgueiro. </w:t>
      </w:r>
    </w:p>
    <w:p>
      <w:pPr>
        <w:pStyle w:val="Normal"/>
        <w:widowControl/>
        <w:suppressAutoHyphens w:val="true"/>
        <w:bidi w:val="0"/>
        <w:spacing w:before="240" w:after="0"/>
        <w:ind w:left="567" w:right="0" w:hanging="0"/>
        <w:jc w:val="both"/>
        <w:rPr>
          <w:sz w:val="22"/>
          <w:szCs w:val="22"/>
        </w:rPr>
      </w:pPr>
      <w:r>
        <w:rPr>
          <w:b/>
          <w:sz w:val="22"/>
          <w:szCs w:val="22"/>
        </w:rPr>
        <w:t xml:space="preserve">Endereço: </w:t>
      </w:r>
      <w:r>
        <w:rPr>
          <w:sz w:val="22"/>
          <w:szCs w:val="22"/>
        </w:rPr>
        <w:t>BR 232, Km 504, sentido Recife. CEP: 56000-000</w:t>
      </w:r>
      <w:r>
        <w:rPr>
          <w:b/>
          <w:sz w:val="22"/>
          <w:szCs w:val="22"/>
        </w:rPr>
        <w:t xml:space="preserve"> </w:t>
      </w:r>
      <w:r>
        <w:rPr>
          <w:sz w:val="22"/>
          <w:szCs w:val="22"/>
        </w:rPr>
        <w:t xml:space="preserve">/Salgueiro/PE – Brasil. </w:t>
      </w:r>
      <w:r>
        <w:rPr>
          <w:b/>
          <w:sz w:val="22"/>
          <w:szCs w:val="22"/>
        </w:rPr>
        <w:t>Telefone: (87) 3421 - 0050</w:t>
      </w:r>
    </w:p>
    <w:p>
      <w:pPr>
        <w:pStyle w:val="Normal"/>
        <w:widowControl/>
        <w:suppressAutoHyphens w:val="true"/>
        <w:bidi w:val="0"/>
        <w:spacing w:before="240" w:after="0"/>
        <w:ind w:left="567" w:right="0" w:hanging="0"/>
        <w:jc w:val="both"/>
        <w:rPr>
          <w:b/>
          <w:b/>
          <w:sz w:val="22"/>
          <w:szCs w:val="22"/>
        </w:rPr>
      </w:pPr>
      <w:r>
        <w:rPr>
          <w:b/>
          <w:bCs/>
          <w:sz w:val="22"/>
          <w:szCs w:val="22"/>
        </w:rPr>
        <w:t xml:space="preserve">5.4.7 </w:t>
      </w:r>
      <w:r>
        <w:rPr>
          <w:sz w:val="22"/>
          <w:szCs w:val="22"/>
        </w:rPr>
        <w:t>Instituto Federal de Educação, Ciência e Tecnologia Sertão Pernambucano</w:t>
      </w:r>
      <w:r>
        <w:rPr>
          <w:b/>
          <w:sz w:val="22"/>
          <w:szCs w:val="22"/>
        </w:rPr>
        <w:t xml:space="preserve">, </w:t>
      </w:r>
      <w:r>
        <w:rPr>
          <w:b/>
          <w:i/>
          <w:sz w:val="22"/>
          <w:szCs w:val="22"/>
        </w:rPr>
        <w:t>campus</w:t>
      </w:r>
      <w:r>
        <w:rPr>
          <w:b/>
          <w:sz w:val="22"/>
          <w:szCs w:val="22"/>
        </w:rPr>
        <w:t xml:space="preserve"> Santa Maria da Boa Vista.</w:t>
      </w:r>
    </w:p>
    <w:p>
      <w:pPr>
        <w:pStyle w:val="Normal"/>
        <w:widowControl/>
        <w:suppressAutoHyphens w:val="true"/>
        <w:bidi w:val="0"/>
        <w:spacing w:before="240" w:after="0"/>
        <w:ind w:left="567" w:right="0" w:hanging="0"/>
        <w:jc w:val="both"/>
        <w:rPr>
          <w:b/>
          <w:b/>
          <w:sz w:val="22"/>
          <w:szCs w:val="22"/>
        </w:rPr>
      </w:pPr>
      <w:r>
        <w:rPr>
          <w:b/>
          <w:sz w:val="22"/>
          <w:szCs w:val="22"/>
        </w:rPr>
        <w:t xml:space="preserve">Endereço: </w:t>
      </w:r>
      <w:r>
        <w:rPr>
          <w:sz w:val="22"/>
          <w:szCs w:val="22"/>
        </w:rPr>
        <w:t xml:space="preserve">BR 428, Km 90, Zona Rural. CEP: 56.380-000 | Santa Maria da Boa Vista/PE – Brasil. </w:t>
      </w:r>
      <w:r>
        <w:rPr>
          <w:b/>
          <w:sz w:val="22"/>
          <w:szCs w:val="22"/>
        </w:rPr>
        <w:t>Telefone: (87) 9.9952 8816.</w:t>
      </w:r>
    </w:p>
    <w:p>
      <w:pPr>
        <w:pStyle w:val="Normal"/>
        <w:widowControl/>
        <w:suppressAutoHyphens w:val="true"/>
        <w:bidi w:val="0"/>
        <w:spacing w:before="240" w:after="0"/>
        <w:ind w:left="567" w:right="0" w:hanging="0"/>
        <w:jc w:val="both"/>
        <w:rPr>
          <w:b/>
          <w:b/>
          <w:sz w:val="22"/>
          <w:szCs w:val="22"/>
        </w:rPr>
      </w:pPr>
      <w:r>
        <w:rPr>
          <w:b/>
          <w:sz w:val="22"/>
          <w:szCs w:val="22"/>
        </w:rPr>
        <w:t xml:space="preserve">5.1.8 </w:t>
      </w:r>
      <w:r>
        <w:rPr>
          <w:bCs/>
          <w:sz w:val="22"/>
          <w:szCs w:val="22"/>
        </w:rPr>
        <w:t>Instituto</w:t>
      </w:r>
      <w:r>
        <w:rPr>
          <w:sz w:val="22"/>
          <w:szCs w:val="22"/>
        </w:rPr>
        <w:t xml:space="preserve"> Federal de Educação, Ciência e Tecnologia Sertão Pernambucano - </w:t>
      </w:r>
      <w:r>
        <w:rPr>
          <w:b/>
          <w:sz w:val="22"/>
          <w:szCs w:val="22"/>
        </w:rPr>
        <w:t xml:space="preserve">Campus Serra Talhada.  </w:t>
      </w:r>
    </w:p>
    <w:p>
      <w:pPr>
        <w:pStyle w:val="Normal"/>
        <w:widowControl/>
        <w:suppressAutoHyphens w:val="true"/>
        <w:bidi w:val="0"/>
        <w:spacing w:before="240" w:after="0"/>
        <w:ind w:left="567" w:right="0" w:hanging="0"/>
        <w:jc w:val="both"/>
        <w:rPr/>
      </w:pPr>
      <w:r>
        <w:rPr>
          <w:b/>
          <w:sz w:val="22"/>
          <w:szCs w:val="22"/>
        </w:rPr>
        <w:t xml:space="preserve">Endereço: </w:t>
      </w:r>
      <w:r>
        <w:rPr>
          <w:sz w:val="22"/>
          <w:szCs w:val="22"/>
        </w:rPr>
        <w:t>Rodovia PE 320, KM 126, Zona Rural. CEP: 56.915-899, Caixa Postal 78 | Serra Talhada/PE - Brasil.</w:t>
      </w:r>
    </w:p>
    <w:p>
      <w:pPr>
        <w:pStyle w:val="Normal"/>
        <w:spacing w:before="0" w:after="120"/>
        <w:jc w:val="both"/>
        <w:rPr>
          <w:sz w:val="22"/>
          <w:szCs w:val="22"/>
        </w:rPr>
      </w:pPr>
      <w:r>
        <w:rPr>
          <w:sz w:val="22"/>
          <w:szCs w:val="22"/>
        </w:rPr>
      </w:r>
    </w:p>
    <w:p>
      <w:pPr>
        <w:pStyle w:val="Normal"/>
        <w:keepNext w:val="true"/>
        <w:keepLines/>
        <w:widowControl/>
        <w:numPr>
          <w:ilvl w:val="0"/>
          <w:numId w:val="6"/>
        </w:numPr>
        <w:suppressAutoHyphens w:val="true"/>
        <w:bidi w:val="0"/>
        <w:spacing w:lineRule="auto" w:line="276" w:before="423" w:after="114"/>
        <w:ind w:left="0" w:right="0" w:hanging="0"/>
        <w:jc w:val="both"/>
        <w:rPr/>
      </w:pPr>
      <w:r>
        <w:rPr>
          <w:b/>
          <w:color w:val="000000"/>
          <w:sz w:val="22"/>
          <w:szCs w:val="22"/>
        </w:rPr>
        <w:t>VISTORIA PARA A LICITAÇÃO.</w:t>
      </w:r>
    </w:p>
    <w:p>
      <w:pPr>
        <w:pStyle w:val="Normal"/>
        <w:keepNext w:val="true"/>
        <w:keepLines/>
        <w:widowControl/>
        <w:numPr>
          <w:ilvl w:val="1"/>
          <w:numId w:val="6"/>
        </w:numPr>
        <w:suppressAutoHyphens w:val="true"/>
        <w:bidi w:val="0"/>
        <w:spacing w:lineRule="auto" w:line="276" w:before="252" w:after="0"/>
        <w:ind w:left="0" w:right="0" w:hanging="0"/>
        <w:jc w:val="both"/>
        <w:rPr/>
      </w:pPr>
      <w:r>
        <w:rPr>
          <w:color w:val="000000"/>
          <w:sz w:val="22"/>
          <w:szCs w:val="22"/>
        </w:rPr>
        <w:t>Para o correto dimensionamento e elaboração de sua proposta, o licitante poderá realizar vistoria nas instalações do local de execução dos serviços, acompanhado por servidor designado para esse fim, de segunda a sexta-feira, das 08:00 horas às 17:00 horas.</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O prazo para vistoria iniciar-se-á no dia útil seguinte ao da publicação do Edital, estendendo-se até o dia útil anterior à data prevista para a abertura da sessão pública.</w:t>
      </w:r>
    </w:p>
    <w:p>
      <w:pPr>
        <w:pStyle w:val="Normal"/>
        <w:widowControl/>
        <w:numPr>
          <w:ilvl w:val="2"/>
          <w:numId w:val="6"/>
        </w:numPr>
        <w:suppressAutoHyphens w:val="true"/>
        <w:bidi w:val="0"/>
        <w:spacing w:lineRule="auto" w:line="276" w:before="120" w:after="0"/>
        <w:ind w:left="567" w:right="0" w:hanging="0"/>
        <w:jc w:val="both"/>
        <w:rPr/>
      </w:pPr>
      <w:r>
        <w:rPr>
          <w:color w:val="000000"/>
          <w:sz w:val="22"/>
          <w:szCs w:val="22"/>
        </w:rPr>
        <w:t>Para a vistoria o licitante, ou o seu representante legal, deverá estar devidamente identificado, apresentando documento de identidade civil e documento expedido pela empresa comprovando sua habilitação para a realização da vistoria.</w:t>
      </w:r>
    </w:p>
    <w:p>
      <w:pPr>
        <w:pStyle w:val="Normal"/>
        <w:spacing w:lineRule="auto" w:line="276"/>
        <w:ind w:left="1922" w:hanging="0"/>
        <w:jc w:val="both"/>
        <w:rPr>
          <w:color w:val="000000"/>
          <w:sz w:val="22"/>
          <w:szCs w:val="22"/>
        </w:rPr>
      </w:pPr>
      <w:r>
        <w:rPr>
          <w:color w:val="000000"/>
          <w:sz w:val="22"/>
          <w:szCs w:val="22"/>
        </w:rPr>
      </w:r>
    </w:p>
    <w:p>
      <w:pPr>
        <w:pStyle w:val="Normal"/>
        <w:widowControl/>
        <w:numPr>
          <w:ilvl w:val="1"/>
          <w:numId w:val="6"/>
        </w:numPr>
        <w:suppressAutoHyphens w:val="true"/>
        <w:bidi w:val="0"/>
        <w:spacing w:lineRule="auto" w:line="276" w:before="0" w:after="0"/>
        <w:ind w:left="0" w:right="0" w:hanging="0"/>
        <w:jc w:val="both"/>
        <w:rPr/>
      </w:pPr>
      <w:r>
        <w:rPr>
          <w:color w:val="000000"/>
          <w:sz w:val="22"/>
          <w:szCs w:val="22"/>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ormal"/>
        <w:spacing w:lineRule="auto" w:line="276"/>
        <w:ind w:left="432" w:hanging="0"/>
        <w:jc w:val="both"/>
        <w:rPr>
          <w:color w:val="000000"/>
          <w:sz w:val="22"/>
          <w:szCs w:val="22"/>
        </w:rPr>
      </w:pPr>
      <w:r>
        <w:rPr>
          <w:color w:val="000000"/>
          <w:sz w:val="22"/>
          <w:szCs w:val="22"/>
        </w:rPr>
      </w:r>
    </w:p>
    <w:p>
      <w:pPr>
        <w:pStyle w:val="Normal"/>
        <w:widowControl/>
        <w:numPr>
          <w:ilvl w:val="1"/>
          <w:numId w:val="6"/>
        </w:numPr>
        <w:suppressAutoHyphens w:val="true"/>
        <w:bidi w:val="0"/>
        <w:spacing w:lineRule="auto" w:line="276" w:before="0" w:after="0"/>
        <w:ind w:left="0" w:right="0" w:hanging="0"/>
        <w:jc w:val="both"/>
        <w:rPr/>
      </w:pPr>
      <w:r>
        <w:rPr>
          <w:color w:val="000000"/>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pPr>
        <w:pStyle w:val="Normal"/>
        <w:ind w:left="720" w:hanging="0"/>
        <w:rPr>
          <w:color w:val="000000"/>
          <w:sz w:val="22"/>
          <w:szCs w:val="22"/>
        </w:rPr>
      </w:pPr>
      <w:r>
        <w:rPr>
          <w:color w:val="000000"/>
          <w:sz w:val="22"/>
          <w:szCs w:val="22"/>
        </w:rPr>
      </w:r>
    </w:p>
    <w:p>
      <w:pPr>
        <w:pStyle w:val="Normal"/>
        <w:widowControl/>
        <w:numPr>
          <w:ilvl w:val="1"/>
          <w:numId w:val="6"/>
        </w:numPr>
        <w:suppressAutoHyphens w:val="true"/>
        <w:bidi w:val="0"/>
        <w:spacing w:lineRule="auto" w:line="276" w:before="0" w:after="120"/>
        <w:ind w:left="0" w:right="0" w:hanging="0"/>
        <w:jc w:val="both"/>
        <w:rPr/>
      </w:pPr>
      <w:r>
        <w:rPr>
          <w:color w:val="000000"/>
          <w:sz w:val="22"/>
          <w:szCs w:val="22"/>
        </w:rPr>
        <w:t>No caso de vistoria a licitante deverá declarar, utilizando o</w:t>
      </w:r>
      <w:r>
        <w:rPr>
          <w:b/>
          <w:color w:val="000000"/>
          <w:sz w:val="22"/>
          <w:szCs w:val="22"/>
          <w:u w:val="single"/>
        </w:rPr>
        <w:t xml:space="preserve"> Modelo do Anexo do Edital, </w:t>
      </w:r>
      <w:r>
        <w:rPr>
          <w:color w:val="000000"/>
          <w:sz w:val="22"/>
          <w:szCs w:val="22"/>
        </w:rPr>
        <w:t>que tomou conhecimento de todas as informações e das condições locais para o cumprimento das obrigações objeto da licitação.</w:t>
      </w:r>
    </w:p>
    <w:p>
      <w:pPr>
        <w:pStyle w:val="Normal"/>
        <w:ind w:left="720" w:hanging="0"/>
        <w:rPr>
          <w:b/>
          <w:b/>
          <w:i/>
          <w:i/>
          <w:color w:val="000000"/>
          <w:sz w:val="22"/>
          <w:szCs w:val="22"/>
          <w:u w:val="single"/>
        </w:rPr>
      </w:pPr>
      <w:r>
        <w:rPr>
          <w:b/>
          <w:i/>
          <w:color w:val="000000"/>
          <w:sz w:val="22"/>
          <w:szCs w:val="22"/>
          <w:u w:val="single"/>
        </w:rPr>
      </w:r>
    </w:p>
    <w:p>
      <w:pPr>
        <w:pStyle w:val="Normal"/>
        <w:widowControl/>
        <w:numPr>
          <w:ilvl w:val="1"/>
          <w:numId w:val="6"/>
        </w:numPr>
        <w:suppressAutoHyphens w:val="true"/>
        <w:bidi w:val="0"/>
        <w:spacing w:lineRule="auto" w:line="276" w:before="0" w:after="120"/>
        <w:ind w:left="0" w:right="0" w:hanging="0"/>
        <w:jc w:val="both"/>
        <w:rPr/>
      </w:pPr>
      <w:r>
        <w:rPr>
          <w:i/>
          <w:color w:val="000000"/>
          <w:sz w:val="22"/>
          <w:szCs w:val="22"/>
        </w:rPr>
        <w:t xml:space="preserve"> </w:t>
      </w:r>
      <w:r>
        <w:rPr>
          <w:color w:val="000000"/>
          <w:sz w:val="22"/>
          <w:szCs w:val="22"/>
        </w:rPr>
        <w:t xml:space="preserve">No caso de NÃO VISTORIA a licitante deverá declarar, utilizando o Modelo do Anexo do Edital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w:t>
      </w:r>
    </w:p>
    <w:p>
      <w:pPr>
        <w:pStyle w:val="Normal"/>
        <w:keepNext w:val="true"/>
        <w:keepLines/>
        <w:widowControl/>
        <w:numPr>
          <w:ilvl w:val="0"/>
          <w:numId w:val="6"/>
        </w:numPr>
        <w:tabs>
          <w:tab w:val="clear" w:pos="720"/>
          <w:tab w:val="left" w:pos="338" w:leader="none"/>
        </w:tabs>
        <w:suppressAutoHyphens w:val="true"/>
        <w:bidi w:val="0"/>
        <w:spacing w:lineRule="auto" w:line="276" w:before="480" w:after="0"/>
        <w:ind w:left="0" w:right="0" w:hanging="0"/>
        <w:jc w:val="both"/>
        <w:rPr/>
      </w:pPr>
      <w:r>
        <w:rPr>
          <w:b/>
          <w:color w:val="000000"/>
          <w:sz w:val="22"/>
          <w:szCs w:val="22"/>
        </w:rPr>
        <w:t xml:space="preserve">MODELO DE EXECUÇÃO DO OBJETO </w:t>
      </w:r>
    </w:p>
    <w:p>
      <w:pPr>
        <w:pStyle w:val="Normal"/>
        <w:keepNext w:val="true"/>
        <w:keepLines/>
        <w:jc w:val="both"/>
        <w:rPr>
          <w:b/>
          <w:b/>
          <w:color w:val="000000"/>
          <w:sz w:val="22"/>
          <w:szCs w:val="22"/>
        </w:rPr>
      </w:pPr>
      <w:r>
        <w:rPr>
          <w:b/>
          <w:color w:val="000000"/>
          <w:sz w:val="22"/>
          <w:szCs w:val="22"/>
        </w:rPr>
      </w:r>
    </w:p>
    <w:p>
      <w:pPr>
        <w:pStyle w:val="Normal"/>
        <w:widowControl/>
        <w:numPr>
          <w:ilvl w:val="1"/>
          <w:numId w:val="6"/>
        </w:numPr>
        <w:suppressAutoHyphens w:val="true"/>
        <w:bidi w:val="0"/>
        <w:spacing w:before="0" w:after="0"/>
        <w:ind w:left="0" w:right="0" w:hanging="0"/>
        <w:jc w:val="both"/>
        <w:rPr/>
      </w:pPr>
      <w:r>
        <w:rPr>
          <w:b/>
          <w:sz w:val="22"/>
          <w:szCs w:val="22"/>
        </w:rPr>
        <w:t>Sistemas de Controle</w:t>
      </w:r>
    </w:p>
    <w:p>
      <w:pPr>
        <w:pStyle w:val="Normal"/>
        <w:ind w:left="715" w:hanging="0"/>
        <w:jc w:val="both"/>
        <w:rPr>
          <w:sz w:val="22"/>
          <w:szCs w:val="22"/>
        </w:rPr>
      </w:pPr>
      <w:r>
        <w:rPr>
          <w:sz w:val="22"/>
          <w:szCs w:val="22"/>
        </w:rPr>
      </w:r>
    </w:p>
    <w:p>
      <w:pPr>
        <w:pStyle w:val="Normal"/>
        <w:widowControl w:val="false"/>
        <w:tabs>
          <w:tab w:val="clear" w:pos="720"/>
          <w:tab w:val="left" w:pos="780" w:leader="none"/>
        </w:tabs>
        <w:suppressAutoHyphens w:val="true"/>
        <w:bidi w:val="0"/>
        <w:spacing w:before="0" w:after="0"/>
        <w:ind w:left="567" w:right="-170" w:hanging="0"/>
        <w:jc w:val="both"/>
        <w:rPr/>
      </w:pPr>
      <w:r>
        <w:rPr>
          <w:color w:val="000000"/>
          <w:sz w:val="22"/>
          <w:szCs w:val="22"/>
        </w:rPr>
        <w:t>7.1.1. A licitante vencedora disponibilizará acesso ao sistema de controle de frotas em níveis compatíveis ao modelo previsto no contrato;</w:t>
      </w:r>
    </w:p>
    <w:p>
      <w:pPr>
        <w:pStyle w:val="Normal"/>
        <w:widowControl w:val="false"/>
        <w:tabs>
          <w:tab w:val="clear" w:pos="720"/>
          <w:tab w:val="left" w:pos="284" w:leader="none"/>
        </w:tabs>
        <w:spacing w:before="120" w:after="0"/>
        <w:ind w:right="-170" w:hanging="0"/>
        <w:jc w:val="both"/>
        <w:rPr>
          <w:sz w:val="22"/>
          <w:szCs w:val="22"/>
        </w:rPr>
      </w:pPr>
      <w:r>
        <w:rPr>
          <w:sz w:val="22"/>
          <w:szCs w:val="22"/>
        </w:rPr>
      </w:r>
    </w:p>
    <w:p>
      <w:pPr>
        <w:pStyle w:val="Normal"/>
        <w:widowControl w:val="false"/>
        <w:tabs>
          <w:tab w:val="clear" w:pos="720"/>
          <w:tab w:val="left" w:pos="563" w:leader="none"/>
        </w:tabs>
        <w:suppressAutoHyphens w:val="true"/>
        <w:bidi w:val="0"/>
        <w:spacing w:lineRule="auto" w:line="271" w:before="0" w:after="0"/>
        <w:ind w:left="567" w:right="-170" w:hanging="0"/>
        <w:jc w:val="both"/>
        <w:rPr/>
      </w:pPr>
      <w:r>
        <w:rPr>
          <w:b/>
          <w:bCs/>
          <w:color w:val="000000"/>
          <w:sz w:val="22"/>
          <w:szCs w:val="22"/>
        </w:rPr>
        <w:t>7.1.1.1.</w:t>
      </w:r>
      <w:r>
        <w:rPr>
          <w:color w:val="000000"/>
          <w:sz w:val="22"/>
          <w:szCs w:val="22"/>
        </w:rPr>
        <w:t xml:space="preserve"> Os relatórios disponibilizados pela licitante vencedora deverão conter, no mínimo, as seguintes informações, acumuladas a partir da contratação dos serviços: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57"/>
        <w:jc w:val="both"/>
        <w:rPr/>
      </w:pPr>
      <w:r>
        <w:rPr>
          <w:color w:val="000000"/>
          <w:sz w:val="22"/>
          <w:szCs w:val="22"/>
        </w:rPr>
        <w:t>Relação dos veículos por marca, modelo, ano de fabricação e motorização;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Histórico das operações realizadas pelas frotas, contendo: data, horário, identificação do estabelecimento e do usuário, mercadoria ou serviço adquirido, quantidade adquirida, valor unitário, valor total da operação e saldo;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 w:val="left" w:pos="963"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Análise e histórico de consumo de combustível (km/l) dos veículos das frotas;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 w:val="left" w:pos="1025" w:leader="none"/>
        </w:tabs>
        <w:suppressAutoHyphens w:val="true"/>
        <w:bidi w:val="0"/>
        <w:spacing w:lineRule="auto" w:line="271" w:before="0" w:after="0"/>
        <w:ind w:left="1134" w:right="-170" w:firstLine="57"/>
        <w:jc w:val="both"/>
        <w:rPr/>
      </w:pPr>
      <w:r>
        <w:rPr>
          <w:color w:val="000000"/>
          <w:sz w:val="22"/>
          <w:szCs w:val="22"/>
        </w:rPr>
        <w:t xml:space="preserve"> </w:t>
      </w:r>
      <w:r>
        <w:rPr>
          <w:color w:val="000000"/>
          <w:sz w:val="22"/>
          <w:szCs w:val="22"/>
        </w:rPr>
        <w:t>Quilometragem percorrida pelos veículos das frotas;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 xml:space="preserve">Histórico das operações realizadas por usuário previamente autorizado pela autoridade competente do </w:t>
      </w:r>
      <w:r>
        <w:rPr>
          <w:b/>
          <w:color w:val="000000"/>
          <w:sz w:val="22"/>
          <w:szCs w:val="22"/>
        </w:rPr>
        <w:t>IF Sertão-PE</w:t>
      </w:r>
      <w:r>
        <w:rPr>
          <w:color w:val="000000"/>
          <w:sz w:val="22"/>
          <w:szCs w:val="22"/>
        </w:rPr>
        <w:t>;</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Histórico das operações realizadas pelo estabelecimento credenciado;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Preço pago pelas peças fornecidas e serviços executados nos veículos;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Descritivo dos limites de crédito distribuídos aos veículos das frotas ou grupo de veículos previamente estabelecidos na implantação no sistema de gestão de frota;</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firstLine="57"/>
        <w:jc w:val="both"/>
        <w:rPr/>
      </w:pPr>
      <w:r>
        <w:rPr>
          <w:color w:val="000000"/>
          <w:sz w:val="22"/>
          <w:szCs w:val="22"/>
        </w:rPr>
        <w:t xml:space="preserve"> </w:t>
      </w:r>
      <w:r>
        <w:rPr>
          <w:color w:val="000000"/>
          <w:sz w:val="22"/>
          <w:szCs w:val="22"/>
        </w:rPr>
        <w:t>Relatório contendo o volume de gastos realizados por tipo de peça ou serviço;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Relatórios constando apenas os veículos que apresentem distorções em termos de quilometragem e de     consumo de combustíveis;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 </w:t>
      </w:r>
      <w:r>
        <w:rPr>
          <w:color w:val="000000"/>
          <w:sz w:val="22"/>
          <w:szCs w:val="22"/>
        </w:rPr>
        <w:t>Relatório para conferência da nota fiscal, discriminando as peças fornecidas e os serviços prestados no período.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2"/>
          <w:numId w:val="1"/>
        </w:numPr>
        <w:tabs>
          <w:tab w:val="clear" w:pos="720"/>
          <w:tab w:val="left" w:pos="780" w:leader="none"/>
        </w:tabs>
        <w:suppressAutoHyphens w:val="true"/>
        <w:bidi w:val="0"/>
        <w:spacing w:lineRule="auto" w:line="271" w:before="0" w:after="0"/>
        <w:ind w:left="567" w:right="-170" w:hanging="57"/>
        <w:jc w:val="both"/>
        <w:rPr/>
      </w:pPr>
      <w:r>
        <w:rPr>
          <w:color w:val="000000"/>
          <w:sz w:val="22"/>
          <w:szCs w:val="22"/>
        </w:rPr>
        <w:t>O sistema deverá possibilitar a consolidação de dados, permitindo o acesso aos mesmos e a emissão de relatórios na base de gerenciamento.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2"/>
          <w:numId w:val="1"/>
        </w:numPr>
        <w:tabs>
          <w:tab w:val="clear" w:pos="720"/>
          <w:tab w:val="left" w:pos="780" w:leader="none"/>
        </w:tabs>
        <w:suppressAutoHyphens w:val="true"/>
        <w:bidi w:val="0"/>
        <w:spacing w:lineRule="auto" w:line="271" w:before="0" w:after="0"/>
        <w:ind w:left="567" w:right="-170" w:hanging="0"/>
        <w:jc w:val="both"/>
        <w:rPr/>
      </w:pPr>
      <w:r>
        <w:rPr>
          <w:color w:val="000000"/>
          <w:sz w:val="22"/>
          <w:szCs w:val="22"/>
        </w:rPr>
        <w:t xml:space="preserve">O sistema deve ser restritivo/informativo com os seguintes parâmetros: ((km/l) (mínimo/máximo); capacidade do tanque; serviços autorizados; valor; quantidade/unidade do material/serviço; litros (abastecimento); horas entre transações; quantidade de transações por veículo; fechamento de rede (UF /município).  </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Todos os parâmetros restritivos e/ou informativos devem ser cadastrados via WEB pelo gestor da frota, definindo os parâmetros por veículo e a regra geral para todas as frotas. O sistema deve ainda permitir a importação de relatórios gerenciais para planilhas eletrônicas.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uppressAutoHyphens w:val="true"/>
        <w:bidi w:val="0"/>
        <w:spacing w:lineRule="auto" w:line="271" w:before="0" w:after="0"/>
        <w:ind w:left="1134" w:right="-170" w:hanging="0"/>
        <w:jc w:val="both"/>
        <w:rPr/>
      </w:pPr>
      <w:r>
        <w:rPr>
          <w:color w:val="000000"/>
          <w:sz w:val="22"/>
          <w:szCs w:val="22"/>
        </w:rPr>
        <w:t xml:space="preserve">Disponibilizar acesso a Sistemas como: Audatex/Molicar, Cilia, Orion, ou outro instrumento equivalente técnico, que deverá, conter todas as marcas e modelos </w:t>
      </w:r>
      <w:r>
        <w:rPr>
          <w:color w:val="000000"/>
          <w:sz w:val="22"/>
          <w:szCs w:val="22"/>
          <w:shd w:fill="FFFFFF" w:val="clear"/>
        </w:rPr>
        <w:t>descritas no Anexo I/D deste Termo de Referência,</w:t>
      </w:r>
      <w:r>
        <w:rPr>
          <w:color w:val="000000"/>
          <w:sz w:val="22"/>
          <w:szCs w:val="22"/>
        </w:rPr>
        <w:t xml:space="preserve"> todas as peças utilizadas na manutenção das referidas marcas e modelos, que é uma ferramenta que possibilitará que o fiscal efetue consultas online da conformidade de valores com relação à tabela de preços dos fabricantes de peças, e sistema que possibilite ao fiscal a consulta quanto à tabela de tempos de mão de obra padrão.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2"/>
          <w:numId w:val="1"/>
        </w:numPr>
        <w:suppressAutoHyphens w:val="true"/>
        <w:bidi w:val="0"/>
        <w:spacing w:lineRule="auto" w:line="276" w:before="0" w:after="0"/>
        <w:ind w:left="567" w:right="-170" w:hanging="0"/>
        <w:jc w:val="both"/>
        <w:rPr/>
      </w:pPr>
      <w:r>
        <w:rPr>
          <w:color w:val="000000"/>
          <w:sz w:val="22"/>
          <w:szCs w:val="22"/>
        </w:rPr>
        <w:t>Sempre que não existir comparativo no sistema oferecido, a contratada deverá         efetuar, obrigatoriamente, consulta local ou regional (no município/cidade ou, no máximo, no estado onde se localiza o estabelecimento que apresentou o orçamento), de cada um dos itens do orçamento na concessionária do fabricante do veículo, apresentando a referida consulta ao fiscal responsável pela aprovação do orçamento, seja por e-mail ou inserindo como anexo em seu próprio sistema, que deverá conter os dados da concessionária consultada, tais como nome, telefone, responsável pelos valores informados, além de cada uma das peças/serviços devidamente listados, com código de peças e serviços, e com indicação unitária de preço consultado.</w:t>
      </w:r>
    </w:p>
    <w:p>
      <w:pPr>
        <w:pStyle w:val="Normal"/>
        <w:widowControl w:val="false"/>
        <w:tabs>
          <w:tab w:val="clear" w:pos="720"/>
          <w:tab w:val="left" w:pos="2736" w:leader="none"/>
        </w:tabs>
        <w:spacing w:lineRule="auto" w:line="276"/>
        <w:ind w:left="992" w:right="-170" w:hanging="0"/>
        <w:jc w:val="both"/>
        <w:rPr>
          <w:color w:val="000000"/>
          <w:sz w:val="22"/>
          <w:szCs w:val="22"/>
        </w:rPr>
      </w:pPr>
      <w:r>
        <w:rPr>
          <w:color w:val="000000"/>
          <w:sz w:val="22"/>
          <w:szCs w:val="22"/>
        </w:rPr>
      </w:r>
    </w:p>
    <w:p>
      <w:pPr>
        <w:pStyle w:val="Normal"/>
        <w:widowControl w:val="false"/>
        <w:numPr>
          <w:ilvl w:val="2"/>
          <w:numId w:val="1"/>
        </w:numPr>
        <w:tabs>
          <w:tab w:val="clear" w:pos="720"/>
          <w:tab w:val="left" w:pos="563" w:leader="none"/>
        </w:tabs>
        <w:suppressAutoHyphens w:val="true"/>
        <w:bidi w:val="0"/>
        <w:spacing w:before="0" w:after="0"/>
        <w:ind w:left="567" w:right="-170" w:hanging="0"/>
        <w:jc w:val="both"/>
        <w:rPr/>
      </w:pPr>
      <w:r>
        <w:rPr>
          <w:color w:val="000000"/>
          <w:sz w:val="22"/>
          <w:szCs w:val="22"/>
        </w:rPr>
        <w:t xml:space="preserve">As pesquisas de preços de peças, mão de obra e tempo para execução de serviços são de responsabilidade da Contratada, item por item de cada orçamento, que obrigatoriamente deverão ser apresentadas aos fiscais da Contratante, seja por e-mail, seja inserido como anexo em seu próprio sistema, não podendo gerar nenhum ônus adicional por essa contraprestação da pesquisa de preços e não o isentando de disponibilizar os sistemas  </w:t>
      </w:r>
      <w:r>
        <w:rPr>
          <w:sz w:val="22"/>
          <w:szCs w:val="22"/>
        </w:rPr>
        <w:t xml:space="preserve">mencionados neste </w:t>
      </w:r>
      <w:r>
        <w:rPr>
          <w:color w:val="000000"/>
          <w:sz w:val="22"/>
          <w:szCs w:val="22"/>
        </w:rPr>
        <w:t>item</w:t>
      </w:r>
      <w:r>
        <w:rPr>
          <w:sz w:val="22"/>
          <w:szCs w:val="22"/>
        </w:rPr>
        <w:t xml:space="preserve">. </w:t>
      </w:r>
    </w:p>
    <w:p>
      <w:pPr>
        <w:pStyle w:val="Normal"/>
        <w:widowControl w:val="false"/>
        <w:tabs>
          <w:tab w:val="clear" w:pos="720"/>
          <w:tab w:val="left" w:pos="2736" w:leader="none"/>
        </w:tabs>
        <w:ind w:left="992" w:right="-170" w:hanging="0"/>
        <w:jc w:val="both"/>
        <w:rPr>
          <w:color w:val="000000"/>
          <w:sz w:val="22"/>
          <w:szCs w:val="22"/>
        </w:rPr>
      </w:pPr>
      <w:r>
        <w:rPr>
          <w:color w:val="000000"/>
          <w:sz w:val="22"/>
          <w:szCs w:val="22"/>
        </w:rPr>
      </w:r>
    </w:p>
    <w:p>
      <w:pPr>
        <w:pStyle w:val="Normal"/>
        <w:widowControl w:val="false"/>
        <w:numPr>
          <w:ilvl w:val="2"/>
          <w:numId w:val="1"/>
        </w:numPr>
        <w:tabs>
          <w:tab w:val="clear" w:pos="720"/>
          <w:tab w:val="left" w:pos="563" w:leader="none"/>
        </w:tabs>
        <w:suppressAutoHyphens w:val="true"/>
        <w:bidi w:val="0"/>
        <w:spacing w:before="0" w:after="0"/>
        <w:ind w:left="567" w:right="-170" w:hanging="0"/>
        <w:jc w:val="both"/>
        <w:rPr/>
      </w:pPr>
      <w:r>
        <w:rPr>
          <w:color w:val="000000"/>
          <w:sz w:val="22"/>
          <w:szCs w:val="22"/>
        </w:rPr>
        <w:t>Garantir que o preço praticado pela sua rede credenciada para prestação de serviços de manutenção preventiva, corretiva, de garantia e os demais serviços e materiais objeto deste Termo de Referência será equivalente ao preço à vista descrito na tabela de preço e tabela de tempos padrão de reparos (tabela tempária) adotados pelo fabricante do veículo manutenido, aplicando-se após o desconto contratado, cujos valores serão aferidos por meio dos sistemas indicados no item 7.1.4.2.</w:t>
      </w:r>
    </w:p>
    <w:p>
      <w:pPr>
        <w:pStyle w:val="ListParagrap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134" w:right="-113" w:hanging="0"/>
        <w:jc w:val="both"/>
        <w:rPr/>
      </w:pPr>
      <w:r>
        <w:rPr>
          <w:color w:val="000000"/>
          <w:sz w:val="22"/>
          <w:szCs w:val="22"/>
        </w:rPr>
        <w:t xml:space="preserve">7.1.6.1 A contratante, através do fiscal do contrato, realizará pesquisa de preços utilizando os parâmetros estabelecidos na Instrução Normativa SEGES/ME nº 65 de 07 de julho de 2021 a fim de comparar os preços apresentados pela contratada. </w:t>
      </w:r>
    </w:p>
    <w:p>
      <w:pPr>
        <w:pStyle w:val="Normal"/>
        <w:widowControl w:val="false"/>
        <w:tabs>
          <w:tab w:val="clear" w:pos="720"/>
          <w:tab w:val="left" w:pos="2736" w:leader="none"/>
        </w:tabs>
        <w:ind w:right="-170" w:hanging="0"/>
        <w:jc w:val="both"/>
        <w:rPr>
          <w:sz w:val="22"/>
          <w:szCs w:val="22"/>
        </w:rPr>
      </w:pPr>
      <w:r>
        <w:rPr>
          <w:sz w:val="22"/>
          <w:szCs w:val="22"/>
        </w:rPr>
      </w:r>
    </w:p>
    <w:p>
      <w:pPr>
        <w:pStyle w:val="Normal"/>
        <w:widowControl w:val="false"/>
        <w:numPr>
          <w:ilvl w:val="2"/>
          <w:numId w:val="1"/>
        </w:numPr>
        <w:shd w:val="clear" w:color="auto" w:fill="FFFFFF"/>
        <w:tabs>
          <w:tab w:val="clear" w:pos="720"/>
          <w:tab w:val="left" w:pos="563" w:leader="none"/>
        </w:tabs>
        <w:suppressAutoHyphens w:val="true"/>
        <w:bidi w:val="0"/>
        <w:spacing w:before="120" w:after="0"/>
        <w:ind w:left="567" w:right="-170" w:hanging="0"/>
        <w:jc w:val="both"/>
        <w:rPr/>
      </w:pPr>
      <w:r>
        <w:rPr>
          <w:color w:val="000000"/>
          <w:sz w:val="22"/>
          <w:szCs w:val="22"/>
        </w:rPr>
        <w:t xml:space="preserve">Entregar, em até dez dias úteis após assinatura do contrato, tabela tempária do fabricante de cada marca, seja por meio impresso e/ou eletrônico, caso as informações contidas na citada tabela, não constem nos sistemas ofertados. </w:t>
      </w:r>
    </w:p>
    <w:p>
      <w:pPr>
        <w:pStyle w:val="Normal"/>
        <w:widowControl w:val="false"/>
        <w:shd w:val="clear" w:color="auto" w:fill="FFFFFF"/>
        <w:tabs>
          <w:tab w:val="clear" w:pos="720"/>
          <w:tab w:val="left" w:pos="2236" w:leader="none"/>
        </w:tabs>
        <w:spacing w:before="120" w:after="0"/>
        <w:ind w:left="1288" w:right="-170" w:hanging="0"/>
        <w:jc w:val="both"/>
        <w:rPr>
          <w:sz w:val="22"/>
          <w:szCs w:val="22"/>
        </w:rPr>
      </w:pPr>
      <w:r>
        <w:rPr>
          <w:sz w:val="22"/>
          <w:szCs w:val="22"/>
        </w:rPr>
      </w:r>
    </w:p>
    <w:p>
      <w:pPr>
        <w:pStyle w:val="Normal"/>
        <w:widowControl w:val="false"/>
        <w:numPr>
          <w:ilvl w:val="2"/>
          <w:numId w:val="1"/>
        </w:numPr>
        <w:shd w:val="clear" w:color="auto" w:fill="FFFFFF"/>
        <w:tabs>
          <w:tab w:val="clear" w:pos="720"/>
          <w:tab w:val="left" w:pos="563" w:leader="none"/>
        </w:tabs>
        <w:suppressAutoHyphens w:val="true"/>
        <w:bidi w:val="0"/>
        <w:spacing w:before="0" w:after="0"/>
        <w:ind w:left="567" w:right="-170" w:hanging="0"/>
        <w:jc w:val="both"/>
        <w:rPr/>
      </w:pPr>
      <w:r>
        <w:rPr>
          <w:color w:val="000000"/>
          <w:sz w:val="22"/>
          <w:szCs w:val="22"/>
        </w:rPr>
        <w:t>A empresa vencedora deve oferecer medidas de contingência alternativa no caso de haver falta de eletricidade ou problemas de comunicação que permitam a transação ser realizada através da URA (Unidade de Resposta Audível) ou SAC (Atendente), 24 horas/dia, sete dias por semana.</w:t>
      </w:r>
    </w:p>
    <w:p>
      <w:pPr>
        <w:pStyle w:val="Normal"/>
        <w:widowControl w:val="false"/>
        <w:shd w:val="clear" w:color="auto" w:fill="FFFFFF"/>
        <w:tabs>
          <w:tab w:val="clear" w:pos="720"/>
          <w:tab w:val="left" w:pos="2236" w:leader="none"/>
        </w:tabs>
        <w:ind w:left="1134" w:right="-170" w:hanging="0"/>
        <w:jc w:val="both"/>
        <w:rPr>
          <w:color w:val="000000"/>
          <w:sz w:val="22"/>
          <w:szCs w:val="22"/>
        </w:rPr>
      </w:pPr>
      <w:r>
        <w:rPr>
          <w:color w:val="000000"/>
          <w:sz w:val="22"/>
          <w:szCs w:val="22"/>
        </w:rPr>
      </w:r>
    </w:p>
    <w:p>
      <w:pPr>
        <w:pStyle w:val="Normal"/>
        <w:widowControl w:val="false"/>
        <w:numPr>
          <w:ilvl w:val="2"/>
          <w:numId w:val="1"/>
        </w:numPr>
        <w:shd w:val="clear" w:color="auto" w:fill="FFFFFF"/>
        <w:tabs>
          <w:tab w:val="clear" w:pos="720"/>
          <w:tab w:val="left" w:pos="563" w:leader="none"/>
        </w:tabs>
        <w:suppressAutoHyphens w:val="true"/>
        <w:bidi w:val="0"/>
        <w:spacing w:before="0" w:after="0"/>
        <w:ind w:left="567" w:right="-170" w:hanging="0"/>
        <w:jc w:val="both"/>
        <w:rPr/>
      </w:pPr>
      <w:r>
        <w:rPr>
          <w:color w:val="000000"/>
          <w:sz w:val="22"/>
          <w:szCs w:val="22"/>
        </w:rPr>
        <w:t>O sistema de gerenciamento de frotas deve ser via WEB on-line em tempo real, e deve permitir que sejam realizadas múltiplas cotações.</w:t>
      </w:r>
    </w:p>
    <w:p>
      <w:pPr>
        <w:pStyle w:val="Normal"/>
        <w:widowControl w:val="false"/>
        <w:shd w:val="clear" w:color="auto" w:fill="FFFFFF"/>
        <w:tabs>
          <w:tab w:val="clear" w:pos="720"/>
          <w:tab w:val="left" w:pos="2236" w:leader="none"/>
        </w:tabs>
        <w:ind w:right="-170" w:hanging="0"/>
        <w:jc w:val="both"/>
        <w:rPr>
          <w:sz w:val="22"/>
          <w:szCs w:val="22"/>
        </w:rPr>
      </w:pPr>
      <w:r>
        <w:rPr>
          <w:sz w:val="22"/>
          <w:szCs w:val="22"/>
        </w:rPr>
      </w:r>
    </w:p>
    <w:p>
      <w:pPr>
        <w:pStyle w:val="Normal"/>
        <w:widowControl w:val="false"/>
        <w:numPr>
          <w:ilvl w:val="2"/>
          <w:numId w:val="1"/>
        </w:numPr>
        <w:shd w:val="clear" w:color="auto" w:fill="FFFFFF"/>
        <w:tabs>
          <w:tab w:val="clear" w:pos="720"/>
          <w:tab w:val="left" w:pos="563" w:leader="none"/>
        </w:tabs>
        <w:suppressAutoHyphens w:val="true"/>
        <w:bidi w:val="0"/>
        <w:spacing w:before="120" w:after="0"/>
        <w:ind w:left="567" w:right="-170" w:hanging="0"/>
        <w:jc w:val="both"/>
        <w:rPr/>
      </w:pPr>
      <w:r>
        <w:rPr>
          <w:color w:val="000000"/>
          <w:sz w:val="22"/>
          <w:szCs w:val="22"/>
        </w:rPr>
        <w:t>Todo o investimento necessário à implantação do sistema, como a instalação dos equipamentos de leitura, softwares de gravação e transmissão de dados, credenciamento da rede de empresas fornecedoras, sistema de consulta de preços de peças/serviços/tabela tempária, manutenção do sistema e treinamento de pessoal, fornecimento de manuais de operação e tudo que se fizer necessário para o bom funcionamento do sistema, será de responsabilidade da Contratada, cuja previsão de cobertura está na taxa de Administração estabelecida no instrumento contratual a ser assinado, não cabendo nenhum ônus adicional à Contratante, não sendo permitida qualquer alegação de incompatibilidade com os sistemas de informação utilizados pelo órgão gerenciador.</w:t>
      </w:r>
    </w:p>
    <w:p>
      <w:pPr>
        <w:pStyle w:val="Normal"/>
        <w:widowControl w:val="false"/>
        <w:shd w:val="clear" w:color="auto" w:fill="FFFFFF"/>
        <w:tabs>
          <w:tab w:val="clear" w:pos="720"/>
          <w:tab w:val="left" w:pos="2236" w:leader="none"/>
        </w:tabs>
        <w:spacing w:before="120" w:after="0"/>
        <w:ind w:left="1288" w:right="-170" w:hanging="0"/>
        <w:jc w:val="both"/>
        <w:rPr>
          <w:sz w:val="22"/>
          <w:szCs w:val="22"/>
        </w:rPr>
      </w:pPr>
      <w:r>
        <w:rPr>
          <w:sz w:val="22"/>
          <w:szCs w:val="22"/>
        </w:rPr>
      </w:r>
    </w:p>
    <w:p>
      <w:pPr>
        <w:pStyle w:val="Normal"/>
        <w:widowControl w:val="false"/>
        <w:numPr>
          <w:ilvl w:val="3"/>
          <w:numId w:val="1"/>
        </w:numPr>
        <w:shd w:val="clear" w:color="auto" w:fill="FFFFFF"/>
        <w:tabs>
          <w:tab w:val="clear" w:pos="720"/>
          <w:tab w:val="left" w:pos="1188" w:leader="none"/>
        </w:tabs>
        <w:suppressAutoHyphens w:val="true"/>
        <w:bidi w:val="0"/>
        <w:spacing w:before="0" w:after="0"/>
        <w:ind w:left="1134" w:right="-170" w:hanging="0"/>
        <w:jc w:val="both"/>
        <w:rPr/>
      </w:pPr>
      <w:r>
        <w:rPr>
          <w:color w:val="000000"/>
          <w:sz w:val="22"/>
          <w:szCs w:val="22"/>
        </w:rPr>
        <w:t>A implantação do sistema informatizado de gerenciamento de manutenção de frota, de suas funcionalidades, de operacionalização e apresentação de rede credenciada capaz de suprir as necessidades da Contratante, deverá ocorrer num prazo máximo de 15 (quinze) dias corridos, contados a partir da data de assinatura do contrato.</w:t>
      </w:r>
    </w:p>
    <w:p>
      <w:pPr>
        <w:pStyle w:val="Normal"/>
        <w:widowControl w:val="false"/>
        <w:shd w:val="clear" w:color="auto" w:fill="FFFFFF"/>
        <w:tabs>
          <w:tab w:val="clear" w:pos="720"/>
          <w:tab w:val="left" w:pos="1701" w:leader="none"/>
        </w:tabs>
        <w:ind w:left="2151" w:right="-170" w:hanging="0"/>
        <w:jc w:val="both"/>
        <w:rPr>
          <w:color w:val="000000"/>
          <w:sz w:val="22"/>
          <w:szCs w:val="22"/>
        </w:rPr>
      </w:pPr>
      <w:r>
        <w:rPr>
          <w:color w:val="000000"/>
          <w:sz w:val="22"/>
          <w:szCs w:val="22"/>
        </w:rPr>
      </w:r>
    </w:p>
    <w:p>
      <w:pPr>
        <w:pStyle w:val="Normal"/>
        <w:widowControl w:val="false"/>
        <w:numPr>
          <w:ilvl w:val="3"/>
          <w:numId w:val="1"/>
        </w:numPr>
        <w:shd w:val="clear" w:color="auto" w:fill="FFFFFF"/>
        <w:tabs>
          <w:tab w:val="clear" w:pos="720"/>
          <w:tab w:val="left" w:pos="1188" w:leader="none"/>
        </w:tabs>
        <w:suppressAutoHyphens w:val="true"/>
        <w:bidi w:val="0"/>
        <w:spacing w:before="0" w:after="0"/>
        <w:ind w:left="1134" w:right="-170" w:hanging="0"/>
        <w:jc w:val="both"/>
        <w:rPr/>
      </w:pPr>
      <w:r>
        <w:rPr>
          <w:color w:val="000000"/>
          <w:sz w:val="22"/>
          <w:szCs w:val="22"/>
        </w:rPr>
        <w:t xml:space="preserve"> </w:t>
      </w:r>
      <w:r>
        <w:rPr>
          <w:color w:val="000000"/>
          <w:sz w:val="22"/>
          <w:szCs w:val="22"/>
        </w:rPr>
        <w:t>Os usuários que serão habilitados ao uso do sistema deverão ser cadastrados no prazo máximo de 05 dias, após informações prestadas pela Contratante.</w:t>
      </w:r>
    </w:p>
    <w:p>
      <w:pPr>
        <w:pStyle w:val="Normal"/>
        <w:widowControl w:val="false"/>
        <w:shd w:val="clear" w:color="auto" w:fill="FFFFFF"/>
        <w:tabs>
          <w:tab w:val="clear" w:pos="720"/>
          <w:tab w:val="left" w:pos="2236" w:leader="none"/>
        </w:tabs>
        <w:ind w:left="2151" w:right="-170" w:hanging="0"/>
        <w:jc w:val="both"/>
        <w:rPr>
          <w:color w:val="000000"/>
          <w:sz w:val="22"/>
          <w:szCs w:val="22"/>
          <w:highlight w:val="yellow"/>
        </w:rPr>
      </w:pPr>
      <w:r>
        <w:rPr>
          <w:color w:val="000000"/>
          <w:sz w:val="22"/>
          <w:szCs w:val="22"/>
          <w:highlight w:val="yellow"/>
        </w:rPr>
      </w:r>
    </w:p>
    <w:p>
      <w:pPr>
        <w:pStyle w:val="Normal"/>
        <w:widowControl w:val="false"/>
        <w:numPr>
          <w:ilvl w:val="2"/>
          <w:numId w:val="1"/>
        </w:numPr>
        <w:shd w:val="clear" w:color="auto" w:fill="FFFFFF"/>
        <w:suppressAutoHyphens w:val="true"/>
        <w:bidi w:val="0"/>
        <w:spacing w:before="0" w:after="0"/>
        <w:ind w:left="567" w:right="-170" w:hanging="0"/>
        <w:jc w:val="both"/>
        <w:rPr/>
      </w:pPr>
      <w:r>
        <w:rPr>
          <w:color w:val="000000"/>
          <w:sz w:val="22"/>
          <w:szCs w:val="22"/>
        </w:rPr>
        <w:t>A Contratada deverá ministrar treinamento inicial em ambiente virtual, em até dez dias após a assinatura do contrato, a gestores e/ou fiscais indicados pela Contratante, que estarão diretamente envolvidos na utilização do sistema de informação a ser disponibilizado, sem qualquer custo adicional a ser faturado, nos moldes que se seguem:</w:t>
      </w:r>
    </w:p>
    <w:p>
      <w:pPr>
        <w:pStyle w:val="Normal"/>
        <w:widowControl w:val="false"/>
        <w:shd w:val="clear" w:color="auto" w:fill="FFFFFF"/>
        <w:tabs>
          <w:tab w:val="clear" w:pos="720"/>
          <w:tab w:val="left" w:pos="2236" w:leader="none"/>
        </w:tabs>
        <w:ind w:left="2151" w:right="-170" w:hanging="0"/>
        <w:jc w:val="both"/>
        <w:rPr>
          <w:color w:val="000000"/>
          <w:sz w:val="22"/>
          <w:szCs w:val="22"/>
        </w:rPr>
      </w:pPr>
      <w:r>
        <w:rPr>
          <w:color w:val="000000"/>
          <w:sz w:val="22"/>
          <w:szCs w:val="22"/>
        </w:rPr>
      </w:r>
    </w:p>
    <w:p>
      <w:pPr>
        <w:pStyle w:val="Normal"/>
        <w:widowControl w:val="false"/>
        <w:numPr>
          <w:ilvl w:val="3"/>
          <w:numId w:val="1"/>
        </w:numPr>
        <w:shd w:val="clear" w:color="auto" w:fill="FFFFFF"/>
        <w:tabs>
          <w:tab w:val="clear" w:pos="720"/>
          <w:tab w:val="left" w:pos="1188" w:leader="none"/>
        </w:tabs>
        <w:suppressAutoHyphens w:val="true"/>
        <w:bidi w:val="0"/>
        <w:spacing w:before="0" w:after="0"/>
        <w:ind w:left="1134" w:right="-170" w:hanging="0"/>
        <w:jc w:val="both"/>
        <w:rPr/>
      </w:pPr>
      <w:r>
        <w:rPr>
          <w:color w:val="000000"/>
          <w:sz w:val="22"/>
          <w:szCs w:val="22"/>
        </w:rPr>
        <w:t xml:space="preserve"> </w:t>
      </w:r>
      <w:r>
        <w:rPr>
          <w:color w:val="000000"/>
          <w:sz w:val="22"/>
          <w:szCs w:val="22"/>
        </w:rPr>
        <w:t>A Contratada deverá oferecer material didático e instrutor capacitado.</w:t>
      </w:r>
    </w:p>
    <w:p>
      <w:pPr>
        <w:pStyle w:val="Normal"/>
        <w:widowControl w:val="false"/>
        <w:shd w:val="clear" w:color="auto" w:fill="FFFFFF"/>
        <w:tabs>
          <w:tab w:val="clear" w:pos="720"/>
          <w:tab w:val="left" w:pos="2236" w:leader="none"/>
        </w:tabs>
        <w:ind w:right="-170" w:hanging="0"/>
        <w:jc w:val="both"/>
        <w:rPr>
          <w:sz w:val="22"/>
          <w:szCs w:val="22"/>
        </w:rPr>
      </w:pPr>
      <w:r>
        <w:rPr>
          <w:sz w:val="22"/>
          <w:szCs w:val="22"/>
        </w:rPr>
      </w:r>
    </w:p>
    <w:p>
      <w:pPr>
        <w:pStyle w:val="Normal"/>
        <w:widowControl w:val="false"/>
        <w:numPr>
          <w:ilvl w:val="3"/>
          <w:numId w:val="1"/>
        </w:numPr>
        <w:shd w:val="clear" w:color="auto" w:fill="FFFFFF"/>
        <w:tabs>
          <w:tab w:val="clear" w:pos="720"/>
          <w:tab w:val="left" w:pos="1188" w:leader="none"/>
        </w:tabs>
        <w:suppressAutoHyphens w:val="true"/>
        <w:bidi w:val="0"/>
        <w:spacing w:before="120" w:after="0"/>
        <w:ind w:left="1134" w:right="-170" w:hanging="0"/>
        <w:jc w:val="both"/>
        <w:rPr/>
      </w:pPr>
      <w:r>
        <w:rPr>
          <w:color w:val="000000"/>
          <w:sz w:val="22"/>
          <w:szCs w:val="22"/>
        </w:rPr>
        <w:t xml:space="preserve"> </w:t>
      </w:r>
      <w:r>
        <w:rPr>
          <w:color w:val="000000"/>
          <w:sz w:val="22"/>
          <w:szCs w:val="22"/>
        </w:rPr>
        <w:t>Data de realização, carga horária e conteúdo programático do curso deverão ser previamente alinhados com o responsável, a ser indicado pela Contratante.</w:t>
      </w:r>
    </w:p>
    <w:p>
      <w:pPr>
        <w:pStyle w:val="Normal"/>
        <w:ind w:left="720" w:right="-170" w:hanging="0"/>
        <w:rPr>
          <w:color w:val="000000"/>
          <w:sz w:val="22"/>
          <w:szCs w:val="22"/>
        </w:rPr>
      </w:pPr>
      <w:r>
        <w:rPr>
          <w:color w:val="000000"/>
          <w:sz w:val="22"/>
          <w:szCs w:val="22"/>
        </w:rPr>
      </w:r>
    </w:p>
    <w:p>
      <w:pPr>
        <w:pStyle w:val="Normal"/>
        <w:widowControl w:val="false"/>
        <w:numPr>
          <w:ilvl w:val="3"/>
          <w:numId w:val="1"/>
        </w:numPr>
        <w:shd w:val="clear" w:color="auto" w:fill="FFFFFF"/>
        <w:suppressAutoHyphens w:val="true"/>
        <w:bidi w:val="0"/>
        <w:spacing w:before="0" w:after="0"/>
        <w:ind w:left="1134" w:right="-170" w:hanging="0"/>
        <w:jc w:val="both"/>
        <w:rPr/>
      </w:pPr>
      <w:r>
        <w:rPr>
          <w:color w:val="000000"/>
          <w:sz w:val="22"/>
          <w:szCs w:val="22"/>
        </w:rPr>
        <w:t xml:space="preserve"> </w:t>
      </w:r>
      <w:r>
        <w:rPr>
          <w:color w:val="000000"/>
          <w:sz w:val="22"/>
          <w:szCs w:val="22"/>
        </w:rPr>
        <w:t>Os custos com diárias e passagens para o instrutor ficarão a cargo da Contratada.</w:t>
      </w:r>
    </w:p>
    <w:p>
      <w:pPr>
        <w:pStyle w:val="Normal"/>
        <w:ind w:left="1701" w:right="-170" w:hanging="850"/>
        <w:rPr>
          <w:color w:val="000000"/>
          <w:sz w:val="22"/>
          <w:szCs w:val="22"/>
        </w:rPr>
      </w:pPr>
      <w:r>
        <w:rPr>
          <w:color w:val="000000"/>
          <w:sz w:val="22"/>
          <w:szCs w:val="22"/>
        </w:rPr>
      </w:r>
    </w:p>
    <w:p>
      <w:pPr>
        <w:pStyle w:val="Normal"/>
        <w:widowControl w:val="false"/>
        <w:numPr>
          <w:ilvl w:val="3"/>
          <w:numId w:val="1"/>
        </w:numPr>
        <w:shd w:val="clear" w:color="auto" w:fill="FFFFFF"/>
        <w:suppressAutoHyphens w:val="true"/>
        <w:bidi w:val="0"/>
        <w:spacing w:before="0" w:after="0"/>
        <w:ind w:left="1134" w:right="-170" w:hanging="0"/>
        <w:jc w:val="both"/>
        <w:rPr/>
      </w:pPr>
      <w:r>
        <w:rPr>
          <w:color w:val="000000"/>
          <w:sz w:val="22"/>
          <w:szCs w:val="22"/>
        </w:rPr>
        <w:t xml:space="preserve"> </w:t>
      </w:r>
      <w:r>
        <w:rPr>
          <w:color w:val="000000"/>
          <w:sz w:val="22"/>
          <w:szCs w:val="22"/>
        </w:rPr>
        <w:t>A Contratada deverá oferecer treinamento de reciclagem a cada período contratual ou sempre que a Contratante, o demandar.</w:t>
      </w:r>
    </w:p>
    <w:p>
      <w:pPr>
        <w:pStyle w:val="Normal"/>
        <w:ind w:left="1701" w:right="-170" w:hanging="850"/>
        <w:rPr>
          <w:color w:val="000000"/>
          <w:sz w:val="22"/>
          <w:szCs w:val="22"/>
        </w:rPr>
      </w:pPr>
      <w:r>
        <w:rPr>
          <w:color w:val="000000"/>
          <w:sz w:val="22"/>
          <w:szCs w:val="22"/>
        </w:rPr>
      </w:r>
    </w:p>
    <w:p>
      <w:pPr>
        <w:pStyle w:val="Normal"/>
        <w:widowControl w:val="false"/>
        <w:numPr>
          <w:ilvl w:val="3"/>
          <w:numId w:val="1"/>
        </w:numPr>
        <w:shd w:val="clear" w:color="auto" w:fill="FFFFFF"/>
        <w:suppressAutoHyphens w:val="true"/>
        <w:bidi w:val="0"/>
        <w:spacing w:before="0" w:after="0"/>
        <w:ind w:left="1134" w:right="-170" w:hanging="0"/>
        <w:jc w:val="both"/>
        <w:rPr/>
      </w:pPr>
      <w:r>
        <w:rPr>
          <w:color w:val="000000"/>
          <w:sz w:val="22"/>
          <w:szCs w:val="22"/>
        </w:rPr>
        <w:t xml:space="preserve"> </w:t>
      </w:r>
      <w:r>
        <w:rPr>
          <w:color w:val="000000"/>
          <w:sz w:val="22"/>
          <w:szCs w:val="22"/>
        </w:rPr>
        <w:t>Quando houver alteração de funcionalidades do sistema que afetem diretamente a operação ou substituição de fiscais, a atualização de conhecimento poderá, a critério da Contratante, ser aplicado por meio de treinamento presencial ou ferramenta eletrônica capaz de suprir a necessidade.</w:t>
      </w:r>
    </w:p>
    <w:p>
      <w:pPr>
        <w:pStyle w:val="Normal"/>
        <w:ind w:left="1701" w:right="-170" w:hanging="850"/>
        <w:rPr>
          <w:color w:val="000000"/>
          <w:sz w:val="22"/>
          <w:szCs w:val="22"/>
        </w:rPr>
      </w:pPr>
      <w:r>
        <w:rPr>
          <w:color w:val="000000"/>
          <w:sz w:val="22"/>
          <w:szCs w:val="22"/>
        </w:rPr>
      </w:r>
    </w:p>
    <w:p>
      <w:pPr>
        <w:pStyle w:val="Normal"/>
        <w:widowControl w:val="false"/>
        <w:numPr>
          <w:ilvl w:val="2"/>
          <w:numId w:val="1"/>
        </w:numPr>
        <w:shd w:val="clear" w:color="auto" w:fill="FFFFFF"/>
        <w:suppressAutoHyphens w:val="true"/>
        <w:bidi w:val="0"/>
        <w:spacing w:before="0" w:after="0"/>
        <w:ind w:left="567" w:right="-170" w:hanging="0"/>
        <w:jc w:val="both"/>
        <w:rPr/>
      </w:pPr>
      <w:r>
        <w:rPr>
          <w:color w:val="000000"/>
          <w:sz w:val="22"/>
          <w:szCs w:val="22"/>
        </w:rPr>
        <w:t xml:space="preserve"> </w:t>
      </w:r>
      <w:r>
        <w:rPr>
          <w:color w:val="000000"/>
          <w:sz w:val="22"/>
          <w:szCs w:val="22"/>
        </w:rPr>
        <w:t>A prestação dos serviços de manutenção preventiva e corretiva, fornecimento de peças e abastecimento dos(as) veículos, tratores, roçadeiras e motor serra deverá ser executada por meio de rede nacional de postos de combustíveis e oficinas credenciados/conveniados.</w:t>
      </w:r>
    </w:p>
    <w:p>
      <w:pPr>
        <w:pStyle w:val="Normal"/>
        <w:widowControl w:val="false"/>
        <w:shd w:val="clear" w:color="auto" w:fill="FFFFFF"/>
        <w:tabs>
          <w:tab w:val="clear" w:pos="720"/>
          <w:tab w:val="left" w:pos="2236" w:leader="none"/>
        </w:tabs>
        <w:ind w:left="1288" w:right="-170" w:hanging="0"/>
        <w:jc w:val="both"/>
        <w:rPr>
          <w:color w:val="000000"/>
          <w:sz w:val="22"/>
          <w:szCs w:val="22"/>
        </w:rPr>
      </w:pPr>
      <w:r>
        <w:rPr>
          <w:color w:val="000000"/>
          <w:sz w:val="22"/>
          <w:szCs w:val="22"/>
        </w:rPr>
      </w:r>
    </w:p>
    <w:p>
      <w:pPr>
        <w:pStyle w:val="ListParagraph"/>
        <w:widowControl w:val="false"/>
        <w:numPr>
          <w:ilvl w:val="3"/>
          <w:numId w:val="1"/>
        </w:numPr>
        <w:shd w:val="clear" w:color="auto" w:fill="FFFFFF"/>
        <w:tabs>
          <w:tab w:val="clear" w:pos="720"/>
          <w:tab w:val="left" w:pos="1188" w:leader="none"/>
        </w:tabs>
        <w:suppressAutoHyphens w:val="true"/>
        <w:bidi w:val="0"/>
        <w:spacing w:before="0" w:after="0"/>
        <w:ind w:left="1134" w:right="-170" w:hanging="0"/>
        <w:contextualSpacing/>
        <w:jc w:val="both"/>
        <w:rPr/>
      </w:pPr>
      <w:r>
        <w:rPr>
          <w:color w:val="000000"/>
          <w:sz w:val="22"/>
          <w:szCs w:val="22"/>
        </w:rPr>
        <w:t xml:space="preserve"> </w:t>
      </w:r>
      <w:bookmarkStart w:id="1" w:name="_Hlk80800082"/>
      <w:bookmarkEnd w:id="1"/>
      <w:r>
        <w:rPr>
          <w:color w:val="000000"/>
          <w:sz w:val="22"/>
          <w:szCs w:val="22"/>
        </w:rPr>
        <w:t>Antes do início da execução do contrato a CONTRATADA deverá enviar lista com o nome e endereço de todos os postos e oficinas credenciados/conveniados com a empresa.</w:t>
      </w:r>
    </w:p>
    <w:p>
      <w:pPr>
        <w:pStyle w:val="Normal"/>
        <w:widowControl w:val="false"/>
        <w:tabs>
          <w:tab w:val="clear" w:pos="720"/>
          <w:tab w:val="left" w:pos="780" w:leader="none"/>
        </w:tabs>
        <w:spacing w:lineRule="auto" w:line="271"/>
        <w:ind w:left="1738" w:right="-170" w:hanging="0"/>
        <w:rPr>
          <w:color w:val="000000"/>
          <w:sz w:val="22"/>
          <w:szCs w:val="22"/>
        </w:rPr>
      </w:pPr>
      <w:r>
        <w:rPr>
          <w:color w:val="000000"/>
          <w:sz w:val="22"/>
          <w:szCs w:val="22"/>
        </w:rPr>
      </w:r>
    </w:p>
    <w:p>
      <w:pPr>
        <w:pStyle w:val="Normal"/>
        <w:widowControl w:val="false"/>
        <w:tabs>
          <w:tab w:val="clear" w:pos="720"/>
          <w:tab w:val="left" w:pos="563" w:leader="none"/>
        </w:tabs>
        <w:suppressAutoHyphens w:val="true"/>
        <w:bidi w:val="0"/>
        <w:spacing w:before="0" w:after="0"/>
        <w:ind w:left="567" w:right="-170" w:hanging="0"/>
        <w:jc w:val="left"/>
        <w:rPr/>
      </w:pPr>
      <w:r>
        <w:rPr>
          <w:b/>
          <w:sz w:val="22"/>
          <w:szCs w:val="22"/>
        </w:rPr>
        <w:t xml:space="preserve"> </w:t>
      </w:r>
      <w:r>
        <w:rPr>
          <w:b/>
          <w:sz w:val="22"/>
          <w:szCs w:val="22"/>
        </w:rPr>
        <w:t>7.1.13. Dos</w:t>
      </w:r>
      <w:r>
        <w:rPr>
          <w:b/>
          <w:color w:val="000000"/>
          <w:sz w:val="22"/>
          <w:szCs w:val="22"/>
        </w:rPr>
        <w:t xml:space="preserve"> serviços de abastecimento</w:t>
      </w:r>
    </w:p>
    <w:p>
      <w:pPr>
        <w:pStyle w:val="Normal"/>
        <w:tabs>
          <w:tab w:val="clear" w:pos="720"/>
          <w:tab w:val="left" w:pos="1912" w:leader="none"/>
        </w:tabs>
        <w:spacing w:lineRule="auto" w:line="276" w:before="0" w:after="140"/>
        <w:ind w:right="-170" w:hanging="0"/>
        <w:rPr>
          <w:b/>
          <w:b/>
          <w:color w:val="000000"/>
          <w:sz w:val="22"/>
          <w:szCs w:val="22"/>
        </w:rPr>
      </w:pPr>
      <w:r>
        <w:rPr>
          <w:b/>
          <w:color w:val="000000"/>
          <w:sz w:val="22"/>
          <w:szCs w:val="22"/>
        </w:rPr>
      </w:r>
    </w:p>
    <w:p>
      <w:pPr>
        <w:pStyle w:val="Normal"/>
        <w:widowControl w:val="false"/>
        <w:tabs>
          <w:tab w:val="clear" w:pos="720"/>
          <w:tab w:val="left" w:pos="885" w:leader="none"/>
        </w:tabs>
        <w:suppressAutoHyphens w:val="true"/>
        <w:bidi w:val="0"/>
        <w:spacing w:before="0" w:after="0"/>
        <w:ind w:left="1191" w:right="-170" w:hanging="0"/>
        <w:jc w:val="left"/>
        <w:rPr/>
      </w:pPr>
      <w:r>
        <w:rPr>
          <w:sz w:val="22"/>
          <w:szCs w:val="22"/>
        </w:rPr>
        <w:t xml:space="preserve">7.1.13.1. </w:t>
      </w:r>
      <w:r>
        <w:rPr>
          <w:color w:val="000000"/>
          <w:sz w:val="22"/>
          <w:szCs w:val="22"/>
        </w:rPr>
        <w:t>A sistemática dos serviços de abastecimento dos veículos deverá obedecer aos seguintes critérios:</w:t>
      </w:r>
    </w:p>
    <w:p>
      <w:pPr>
        <w:pStyle w:val="Normal"/>
        <w:widowControl w:val="false"/>
        <w:tabs>
          <w:tab w:val="clear" w:pos="720"/>
          <w:tab w:val="left" w:pos="885" w:leader="none"/>
        </w:tabs>
        <w:ind w:left="720" w:right="-170" w:hanging="0"/>
        <w:rPr>
          <w:color w:val="000000"/>
          <w:sz w:val="22"/>
          <w:szCs w:val="22"/>
        </w:rPr>
      </w:pPr>
      <w:r>
        <w:rPr>
          <w:color w:val="000000"/>
          <w:sz w:val="22"/>
          <w:szCs w:val="22"/>
        </w:rPr>
      </w:r>
    </w:p>
    <w:p>
      <w:pPr>
        <w:pStyle w:val="Normal"/>
        <w:widowControl w:val="false"/>
        <w:tabs>
          <w:tab w:val="clear" w:pos="720"/>
          <w:tab w:val="left" w:pos="885" w:leader="none"/>
        </w:tabs>
        <w:suppressAutoHyphens w:val="true"/>
        <w:bidi w:val="0"/>
        <w:spacing w:before="0" w:after="0"/>
        <w:ind w:left="1701" w:right="-170" w:hanging="0"/>
        <w:jc w:val="both"/>
        <w:rPr/>
      </w:pPr>
      <w:r>
        <w:rPr>
          <w:sz w:val="22"/>
          <w:szCs w:val="22"/>
        </w:rPr>
        <w:t xml:space="preserve">7.1.13.1.1 </w:t>
      </w:r>
      <w:r>
        <w:rPr>
          <w:color w:val="000000"/>
          <w:sz w:val="22"/>
          <w:szCs w:val="22"/>
        </w:rPr>
        <w:t>Informatização dos dados coletados por ocasião de cada abastecimento e do consumo de combustível, quilometragem, custos, identificação do veículo, identificação do portador ou motorista e respectiva unidade de lotação, datas e horários, tipos de combustíveis, lubrificantes, peças, componentes e serviços, a serem alimentados por meio eletrônico, com ou sem a participação humana, e em base gerencial de dados disponíveis para cada unidade regional.</w:t>
      </w:r>
    </w:p>
    <w:p>
      <w:pPr>
        <w:pStyle w:val="Normal"/>
        <w:widowControl w:val="false"/>
        <w:tabs>
          <w:tab w:val="clear" w:pos="720"/>
          <w:tab w:val="left" w:pos="885" w:leader="none"/>
        </w:tabs>
        <w:ind w:left="1560" w:right="-170" w:hanging="426"/>
        <w:jc w:val="both"/>
        <w:rPr>
          <w:color w:val="000000"/>
          <w:sz w:val="22"/>
          <w:szCs w:val="22"/>
        </w:rPr>
      </w:pPr>
      <w:r>
        <w:rPr>
          <w:color w:val="000000"/>
          <w:sz w:val="22"/>
          <w:szCs w:val="22"/>
        </w:rPr>
      </w:r>
    </w:p>
    <w:p>
      <w:pPr>
        <w:pStyle w:val="Normal"/>
        <w:widowControl w:val="false"/>
        <w:tabs>
          <w:tab w:val="clear" w:pos="720"/>
          <w:tab w:val="left" w:pos="885" w:leader="none"/>
        </w:tabs>
        <w:suppressAutoHyphens w:val="true"/>
        <w:bidi w:val="0"/>
        <w:spacing w:before="0" w:after="0"/>
        <w:ind w:left="1701" w:right="0" w:hanging="0"/>
        <w:jc w:val="both"/>
        <w:rPr/>
      </w:pPr>
      <w:r>
        <w:rPr>
          <w:color w:val="000000"/>
          <w:sz w:val="22"/>
          <w:szCs w:val="22"/>
        </w:rPr>
        <w:t xml:space="preserve"> </w:t>
      </w:r>
      <w:r>
        <w:rPr>
          <w:color w:val="000000"/>
          <w:sz w:val="22"/>
          <w:szCs w:val="22"/>
        </w:rPr>
        <w:t xml:space="preserve">7.1.13.1.2 Processo de consolidação de dados e emissão de relatórios para o </w:t>
      </w:r>
      <w:r>
        <w:rPr>
          <w:b/>
          <w:color w:val="000000"/>
          <w:sz w:val="22"/>
          <w:szCs w:val="22"/>
        </w:rPr>
        <w:t>IFSertãoPE</w:t>
      </w:r>
      <w:r>
        <w:rPr>
          <w:color w:val="000000"/>
          <w:sz w:val="22"/>
          <w:szCs w:val="22"/>
        </w:rPr>
        <w:t>, pela internet.</w:t>
      </w:r>
    </w:p>
    <w:p>
      <w:pPr>
        <w:pStyle w:val="Normal"/>
        <w:spacing w:lineRule="auto" w:line="276" w:before="8" w:after="140"/>
        <w:rPr>
          <w:color w:val="000000"/>
          <w:sz w:val="22"/>
          <w:szCs w:val="22"/>
        </w:rPr>
      </w:pPr>
      <w:r>
        <w:rPr>
          <w:color w:val="000000"/>
          <w:sz w:val="22"/>
          <w:szCs w:val="22"/>
        </w:rPr>
      </w:r>
    </w:p>
    <w:p>
      <w:pPr>
        <w:pStyle w:val="ListParagraph"/>
        <w:widowControl w:val="false"/>
        <w:numPr>
          <w:ilvl w:val="1"/>
          <w:numId w:val="1"/>
        </w:numPr>
        <w:tabs>
          <w:tab w:val="clear" w:pos="720"/>
          <w:tab w:val="left" w:pos="0" w:leader="none"/>
        </w:tabs>
        <w:suppressAutoHyphens w:val="true"/>
        <w:bidi w:val="0"/>
        <w:spacing w:before="94" w:after="0"/>
        <w:ind w:left="0" w:right="0" w:hanging="0"/>
        <w:contextualSpacing/>
        <w:jc w:val="left"/>
        <w:rPr/>
      </w:pPr>
      <w:r>
        <w:rPr>
          <w:b/>
          <w:color w:val="000000"/>
          <w:sz w:val="22"/>
          <w:szCs w:val="22"/>
        </w:rPr>
        <w:t>Da rede de estabelecimentos de postos de abastecimento</w:t>
      </w:r>
    </w:p>
    <w:p>
      <w:pPr>
        <w:pStyle w:val="Normal"/>
        <w:widowControl w:val="false"/>
        <w:tabs>
          <w:tab w:val="clear" w:pos="720"/>
          <w:tab w:val="left" w:pos="735" w:leader="none"/>
        </w:tabs>
        <w:ind w:left="1674" w:hanging="0"/>
        <w:jc w:val="both"/>
        <w:rPr>
          <w:b/>
          <w:b/>
          <w:color w:val="000000"/>
          <w:sz w:val="22"/>
          <w:szCs w:val="22"/>
        </w:rPr>
      </w:pPr>
      <w:r>
        <w:rPr>
          <w:b/>
          <w:color w:val="000000"/>
          <w:sz w:val="22"/>
          <w:szCs w:val="22"/>
        </w:rPr>
      </w:r>
    </w:p>
    <w:p>
      <w:pPr>
        <w:pStyle w:val="Normal"/>
        <w:widowControl w:val="false"/>
        <w:tabs>
          <w:tab w:val="clear" w:pos="720"/>
          <w:tab w:val="left" w:pos="735" w:leader="none"/>
        </w:tabs>
        <w:ind w:left="1674" w:hanging="0"/>
        <w:jc w:val="both"/>
        <w:rPr>
          <w:b/>
          <w:b/>
          <w:color w:val="000000"/>
          <w:sz w:val="22"/>
          <w:szCs w:val="22"/>
        </w:rPr>
      </w:pPr>
      <w:r>
        <w:rPr>
          <w:b/>
          <w:color w:val="000000"/>
          <w:sz w:val="22"/>
          <w:szCs w:val="22"/>
        </w:rPr>
      </w:r>
    </w:p>
    <w:p>
      <w:pPr>
        <w:pStyle w:val="ListParagraph"/>
        <w:widowControl w:val="false"/>
        <w:numPr>
          <w:ilvl w:val="2"/>
          <w:numId w:val="1"/>
        </w:numPr>
        <w:tabs>
          <w:tab w:val="clear" w:pos="720"/>
          <w:tab w:val="left" w:pos="735" w:leader="none"/>
        </w:tabs>
        <w:suppressAutoHyphens w:val="true"/>
        <w:bidi w:val="0"/>
        <w:spacing w:before="0" w:after="0"/>
        <w:ind w:left="567" w:right="0" w:hanging="57"/>
        <w:contextualSpacing/>
        <w:jc w:val="both"/>
        <w:rPr/>
      </w:pPr>
      <w:r>
        <w:rPr>
          <w:color w:val="000000"/>
          <w:sz w:val="22"/>
          <w:szCs w:val="22"/>
        </w:rPr>
        <w:t xml:space="preserve">A rede de postos de abastecimentos deverá estar equipada para aceitar transações com cartões eletrônicos, tipo </w:t>
      </w:r>
      <w:r>
        <w:rPr>
          <w:i/>
          <w:color w:val="000000"/>
          <w:sz w:val="22"/>
          <w:szCs w:val="22"/>
        </w:rPr>
        <w:t xml:space="preserve">smart </w:t>
      </w:r>
      <w:r>
        <w:rPr>
          <w:color w:val="000000"/>
          <w:sz w:val="22"/>
          <w:szCs w:val="22"/>
        </w:rPr>
        <w:t>com chips, ou magnéticos, dos veículos das frotas do órgão contratante e estarem, no máximo, a 200 quilômetros de distância entre si.</w:t>
      </w:r>
    </w:p>
    <w:p>
      <w:pPr>
        <w:pStyle w:val="Normal"/>
        <w:widowControl w:val="false"/>
        <w:tabs>
          <w:tab w:val="clear" w:pos="720"/>
          <w:tab w:val="left" w:pos="735" w:leader="none"/>
        </w:tabs>
        <w:rPr>
          <w:b/>
          <w:b/>
          <w:sz w:val="22"/>
          <w:szCs w:val="22"/>
        </w:rPr>
      </w:pPr>
      <w:r>
        <w:rPr>
          <w:b/>
          <w:sz w:val="22"/>
          <w:szCs w:val="22"/>
        </w:rPr>
      </w:r>
    </w:p>
    <w:p>
      <w:pPr>
        <w:pStyle w:val="Normal"/>
        <w:widowControl w:val="false"/>
        <w:numPr>
          <w:ilvl w:val="2"/>
          <w:numId w:val="1"/>
        </w:numPr>
        <w:tabs>
          <w:tab w:val="clear" w:pos="720"/>
          <w:tab w:val="left" w:pos="735" w:leader="none"/>
        </w:tabs>
        <w:ind w:left="1276" w:hanging="719"/>
        <w:jc w:val="both"/>
        <w:rPr/>
      </w:pPr>
      <w:r>
        <w:rPr>
          <w:color w:val="000000"/>
          <w:sz w:val="22"/>
          <w:szCs w:val="22"/>
        </w:rPr>
        <w:t>No caso de impossibilidade temporária de se efetuar a transação em meio eletrônico, prover forma alternativa para garantir a continuidade dos serviços contratados.</w:t>
      </w:r>
    </w:p>
    <w:p>
      <w:pPr>
        <w:pStyle w:val="Normal"/>
        <w:widowControl w:val="false"/>
        <w:tabs>
          <w:tab w:val="clear" w:pos="720"/>
          <w:tab w:val="left" w:pos="735" w:leader="none"/>
        </w:tabs>
        <w:ind w:left="1276" w:hanging="0"/>
        <w:rPr>
          <w:b/>
          <w:b/>
          <w:sz w:val="22"/>
          <w:szCs w:val="22"/>
        </w:rPr>
      </w:pPr>
      <w:r>
        <w:rPr>
          <w:b/>
          <w:sz w:val="22"/>
          <w:szCs w:val="22"/>
        </w:rPr>
      </w:r>
    </w:p>
    <w:p>
      <w:pPr>
        <w:pStyle w:val="Normal"/>
        <w:widowControl w:val="false"/>
        <w:numPr>
          <w:ilvl w:val="2"/>
          <w:numId w:val="1"/>
        </w:numPr>
        <w:tabs>
          <w:tab w:val="clear" w:pos="720"/>
          <w:tab w:val="left" w:pos="735" w:leader="none"/>
        </w:tabs>
        <w:ind w:left="1276" w:hanging="719"/>
        <w:jc w:val="both"/>
        <w:rPr/>
      </w:pPr>
      <w:r>
        <w:rPr>
          <w:color w:val="000000"/>
          <w:sz w:val="22"/>
          <w:szCs w:val="22"/>
        </w:rPr>
        <w:t>A licitante vencedora deverá dispor de sistema tecnológico informatizado integrado para viabilizar o pagamento dos abastecimentos dos veículos com combustíveis, pelo uso de lubrificantes e de manutenções leves, junto aos postos de abastecimento credenciados.</w:t>
      </w:r>
    </w:p>
    <w:p>
      <w:pPr>
        <w:pStyle w:val="Normal"/>
        <w:widowControl w:val="false"/>
        <w:tabs>
          <w:tab w:val="clear" w:pos="720"/>
          <w:tab w:val="left" w:pos="735" w:leader="none"/>
        </w:tabs>
        <w:ind w:left="1276" w:hanging="0"/>
        <w:jc w:val="both"/>
        <w:rPr>
          <w:b/>
          <w:b/>
          <w:color w:val="000000"/>
          <w:sz w:val="22"/>
          <w:szCs w:val="22"/>
        </w:rPr>
      </w:pPr>
      <w:r>
        <w:rPr>
          <w:b/>
          <w:color w:val="000000"/>
          <w:sz w:val="22"/>
          <w:szCs w:val="22"/>
        </w:rPr>
      </w:r>
    </w:p>
    <w:p>
      <w:pPr>
        <w:pStyle w:val="Normal"/>
        <w:widowControl w:val="false"/>
        <w:numPr>
          <w:ilvl w:val="2"/>
          <w:numId w:val="1"/>
        </w:numPr>
        <w:tabs>
          <w:tab w:val="clear" w:pos="720"/>
          <w:tab w:val="left" w:pos="563" w:leader="none"/>
        </w:tabs>
        <w:suppressAutoHyphens w:val="true"/>
        <w:bidi w:val="0"/>
        <w:spacing w:before="0" w:after="0"/>
        <w:ind w:left="567" w:right="170" w:hanging="0"/>
        <w:jc w:val="both"/>
        <w:rPr/>
      </w:pPr>
      <w:r>
        <w:rPr>
          <w:color w:val="000000"/>
          <w:sz w:val="22"/>
          <w:szCs w:val="22"/>
        </w:rPr>
        <w:t xml:space="preserve"> </w:t>
      </w:r>
      <w:r>
        <w:rPr>
          <w:color w:val="000000"/>
          <w:sz w:val="22"/>
          <w:szCs w:val="22"/>
        </w:rPr>
        <w:t>Sempre que solicitado pelo órgão gerenciador, a licitante vencedora deverá providenciar o credenciamento de algum novo estabelecimento quando:</w:t>
      </w:r>
    </w:p>
    <w:p>
      <w:pPr>
        <w:pStyle w:val="Normal"/>
        <w:widowControl w:val="false"/>
        <w:tabs>
          <w:tab w:val="clear" w:pos="720"/>
          <w:tab w:val="left" w:pos="735" w:leader="none"/>
        </w:tabs>
        <w:ind w:left="1276" w:right="140" w:hanging="0"/>
        <w:jc w:val="both"/>
        <w:rPr>
          <w:b/>
          <w:b/>
          <w:color w:val="000000"/>
          <w:sz w:val="22"/>
          <w:szCs w:val="22"/>
        </w:rPr>
      </w:pPr>
      <w:r>
        <w:rPr>
          <w:b/>
          <w:color w:val="000000"/>
          <w:sz w:val="22"/>
          <w:szCs w:val="22"/>
        </w:rPr>
      </w:r>
    </w:p>
    <w:p>
      <w:pPr>
        <w:pStyle w:val="Normal"/>
        <w:widowControl w:val="false"/>
        <w:tabs>
          <w:tab w:val="clear" w:pos="720"/>
          <w:tab w:val="left" w:pos="735" w:leader="none"/>
        </w:tabs>
        <w:suppressAutoHyphens w:val="true"/>
        <w:bidi w:val="0"/>
        <w:spacing w:before="0" w:after="0"/>
        <w:ind w:left="1134" w:right="170" w:hanging="0"/>
        <w:jc w:val="both"/>
        <w:rPr>
          <w:b/>
          <w:b/>
          <w:color w:val="000000"/>
          <w:sz w:val="22"/>
          <w:szCs w:val="22"/>
        </w:rPr>
      </w:pPr>
      <w:r>
        <w:rPr>
          <w:color w:val="000000"/>
          <w:sz w:val="22"/>
          <w:szCs w:val="22"/>
        </w:rPr>
        <w:t xml:space="preserve">7.2.4.1 O atendimento não esteja sendo considerado satisfatório. </w:t>
      </w:r>
    </w:p>
    <w:p>
      <w:pPr>
        <w:pStyle w:val="Normal"/>
        <w:widowControl w:val="false"/>
        <w:tabs>
          <w:tab w:val="clear" w:pos="720"/>
          <w:tab w:val="left" w:pos="735" w:leader="none"/>
        </w:tabs>
        <w:suppressAutoHyphens w:val="true"/>
        <w:bidi w:val="0"/>
        <w:spacing w:before="0" w:after="0"/>
        <w:ind w:left="1134" w:right="170" w:hanging="0"/>
        <w:jc w:val="both"/>
        <w:rPr>
          <w:b/>
          <w:b/>
          <w:color w:val="000000"/>
          <w:sz w:val="22"/>
          <w:szCs w:val="22"/>
        </w:rPr>
      </w:pPr>
      <w:r>
        <w:rPr>
          <w:b/>
          <w:color w:val="000000"/>
          <w:sz w:val="22"/>
          <w:szCs w:val="22"/>
        </w:rPr>
      </w:r>
    </w:p>
    <w:p>
      <w:pPr>
        <w:pStyle w:val="Normal"/>
        <w:widowControl w:val="false"/>
        <w:tabs>
          <w:tab w:val="clear" w:pos="720"/>
          <w:tab w:val="left" w:pos="735" w:leader="none"/>
        </w:tabs>
        <w:suppressAutoHyphens w:val="true"/>
        <w:bidi w:val="0"/>
        <w:spacing w:before="0" w:after="0"/>
        <w:ind w:left="1134" w:right="170" w:hanging="0"/>
        <w:jc w:val="both"/>
        <w:rPr>
          <w:b/>
          <w:b/>
          <w:color w:val="000000"/>
          <w:sz w:val="22"/>
          <w:szCs w:val="22"/>
        </w:rPr>
      </w:pPr>
      <w:r>
        <w:rPr>
          <w:color w:val="000000"/>
          <w:sz w:val="22"/>
          <w:szCs w:val="22"/>
        </w:rPr>
        <w:t>7.2.4.2 preços praticados pelas empresas constantes da rede credenciada não estejam dentro dos limites máximos estabelecidos nos sistemas e/ou tabelas constantes</w:t>
      </w:r>
      <w:r>
        <w:rPr>
          <w:sz w:val="22"/>
          <w:szCs w:val="22"/>
        </w:rPr>
        <w:t xml:space="preserve"> </w:t>
      </w:r>
      <w:r>
        <w:rPr>
          <w:color w:val="000000"/>
          <w:sz w:val="22"/>
          <w:szCs w:val="22"/>
        </w:rPr>
        <w:t>e do Termo de Referência.</w:t>
      </w:r>
    </w:p>
    <w:p>
      <w:pPr>
        <w:pStyle w:val="Normal"/>
        <w:suppressAutoHyphens w:val="true"/>
        <w:bidi w:val="0"/>
        <w:spacing w:before="0" w:after="0"/>
        <w:ind w:left="1134" w:right="170" w:hanging="0"/>
        <w:jc w:val="both"/>
        <w:rPr>
          <w:color w:val="000000"/>
          <w:sz w:val="22"/>
          <w:szCs w:val="22"/>
        </w:rPr>
      </w:pPr>
      <w:r>
        <w:rPr>
          <w:color w:val="000000"/>
          <w:sz w:val="22"/>
          <w:szCs w:val="22"/>
        </w:rPr>
      </w:r>
    </w:p>
    <w:p>
      <w:pPr>
        <w:pStyle w:val="Normal"/>
        <w:widowControl w:val="false"/>
        <w:tabs>
          <w:tab w:val="clear" w:pos="720"/>
          <w:tab w:val="left" w:pos="735" w:leader="none"/>
        </w:tabs>
        <w:suppressAutoHyphens w:val="true"/>
        <w:bidi w:val="0"/>
        <w:spacing w:before="0" w:after="0"/>
        <w:ind w:left="1134" w:right="170" w:hanging="0"/>
        <w:jc w:val="both"/>
        <w:rPr>
          <w:b/>
          <w:b/>
          <w:color w:val="000000"/>
          <w:sz w:val="22"/>
          <w:szCs w:val="22"/>
        </w:rPr>
      </w:pPr>
      <w:r>
        <w:rPr>
          <w:color w:val="000000"/>
          <w:sz w:val="22"/>
          <w:szCs w:val="22"/>
        </w:rPr>
        <w:t>7.2.4.3 Haja necessidade de ampliação de atendimento por parte da Contratante ou por quaisquer outras questões técnicas.</w:t>
      </w:r>
    </w:p>
    <w:p>
      <w:pPr>
        <w:pStyle w:val="Normal"/>
        <w:suppressAutoHyphens w:val="true"/>
        <w:bidi w:val="0"/>
        <w:spacing w:before="0" w:after="0"/>
        <w:ind w:left="1134" w:right="170" w:hanging="0"/>
        <w:jc w:val="both"/>
        <w:rPr>
          <w:color w:val="000000"/>
          <w:sz w:val="22"/>
          <w:szCs w:val="22"/>
        </w:rPr>
      </w:pPr>
      <w:r>
        <w:rPr>
          <w:color w:val="000000"/>
          <w:sz w:val="22"/>
          <w:szCs w:val="22"/>
        </w:rPr>
      </w:r>
    </w:p>
    <w:p>
      <w:pPr>
        <w:pStyle w:val="Normal"/>
        <w:widowControl w:val="false"/>
        <w:tabs>
          <w:tab w:val="clear" w:pos="720"/>
          <w:tab w:val="left" w:pos="735" w:leader="none"/>
        </w:tabs>
        <w:suppressAutoHyphens w:val="true"/>
        <w:bidi w:val="0"/>
        <w:spacing w:before="0" w:after="0"/>
        <w:ind w:left="1134" w:right="170" w:hanging="0"/>
        <w:jc w:val="both"/>
        <w:rPr>
          <w:b/>
          <w:b/>
          <w:color w:val="000000"/>
          <w:sz w:val="22"/>
          <w:szCs w:val="22"/>
        </w:rPr>
      </w:pPr>
      <w:r>
        <w:rPr>
          <w:color w:val="000000"/>
          <w:sz w:val="22"/>
          <w:szCs w:val="22"/>
        </w:rPr>
        <w:t>7.2.4.4 Disponibilizar sistema de gerenciamento integrado que ofereça relatórios gerenciais de controle das despesas.</w:t>
      </w:r>
    </w:p>
    <w:p>
      <w:pPr>
        <w:pStyle w:val="Normal"/>
        <w:spacing w:lineRule="auto" w:line="276" w:before="5" w:after="140"/>
        <w:ind w:left="1418" w:right="140" w:hanging="0"/>
        <w:jc w:val="both"/>
        <w:rPr>
          <w:color w:val="000000"/>
          <w:sz w:val="22"/>
          <w:szCs w:val="22"/>
        </w:rPr>
      </w:pPr>
      <w:r>
        <w:rPr>
          <w:color w:val="000000"/>
          <w:sz w:val="22"/>
          <w:szCs w:val="22"/>
        </w:rPr>
      </w:r>
    </w:p>
    <w:p>
      <w:pPr>
        <w:pStyle w:val="Normal"/>
        <w:widowControl w:val="false"/>
        <w:numPr>
          <w:ilvl w:val="1"/>
          <w:numId w:val="1"/>
        </w:numPr>
        <w:tabs>
          <w:tab w:val="clear" w:pos="720"/>
          <w:tab w:val="left" w:pos="563" w:leader="none"/>
          <w:tab w:val="left" w:pos="735" w:leader="none"/>
        </w:tabs>
        <w:suppressAutoHyphens w:val="true"/>
        <w:bidi w:val="0"/>
        <w:spacing w:before="0" w:after="0"/>
        <w:ind w:left="0" w:right="0" w:hanging="0"/>
        <w:jc w:val="both"/>
        <w:rPr/>
      </w:pPr>
      <w:r>
        <w:rPr>
          <w:b/>
          <w:color w:val="000000"/>
          <w:sz w:val="22"/>
          <w:szCs w:val="22"/>
        </w:rPr>
        <w:t>Do serviço de autogestão da manutenção</w:t>
      </w:r>
    </w:p>
    <w:p>
      <w:pPr>
        <w:pStyle w:val="Normal"/>
        <w:widowControl w:val="false"/>
        <w:tabs>
          <w:tab w:val="clear" w:pos="720"/>
          <w:tab w:val="left" w:pos="735" w:leader="none"/>
        </w:tabs>
        <w:ind w:left="1077" w:hanging="0"/>
        <w:jc w:val="both"/>
        <w:rPr>
          <w:b/>
          <w:b/>
          <w:color w:val="000000"/>
          <w:sz w:val="22"/>
          <w:szCs w:val="22"/>
        </w:rPr>
      </w:pPr>
      <w:r>
        <w:rPr>
          <w:b/>
          <w:color w:val="000000"/>
          <w:sz w:val="22"/>
          <w:szCs w:val="22"/>
        </w:rPr>
      </w:r>
    </w:p>
    <w:p>
      <w:pPr>
        <w:pStyle w:val="Normal"/>
        <w:widowControl w:val="false"/>
        <w:numPr>
          <w:ilvl w:val="2"/>
          <w:numId w:val="1"/>
        </w:numPr>
        <w:tabs>
          <w:tab w:val="clear" w:pos="720"/>
          <w:tab w:val="left" w:pos="735" w:leader="none"/>
        </w:tabs>
        <w:suppressAutoHyphens w:val="true"/>
        <w:bidi w:val="0"/>
        <w:spacing w:before="0" w:after="0"/>
        <w:ind w:left="567" w:right="-454" w:hanging="0"/>
        <w:jc w:val="both"/>
        <w:rPr/>
      </w:pPr>
      <w:r>
        <w:rPr>
          <w:color w:val="000000"/>
          <w:sz w:val="22"/>
          <w:szCs w:val="22"/>
        </w:rPr>
        <w:t>O serviço de autogestão da manutenção automotiva preventiva e corretiva das frotas de veículos, por meio do sistema de controle integrado da manutenção disponibilizado pela licitante vencedora, compreende o atendimento à condição orçamentária dos materiais e serviços ofertados pelos estabelecimentos credenciados, e ainda:</w:t>
      </w:r>
    </w:p>
    <w:p>
      <w:pPr>
        <w:pStyle w:val="Normal"/>
        <w:widowControl w:val="false"/>
        <w:tabs>
          <w:tab w:val="clear" w:pos="720"/>
          <w:tab w:val="left" w:pos="735" w:leader="none"/>
        </w:tabs>
        <w:ind w:left="1674" w:right="-427" w:hanging="0"/>
        <w:jc w:val="both"/>
        <w:rPr>
          <w:b/>
          <w:b/>
          <w:color w:val="000000"/>
          <w:sz w:val="22"/>
          <w:szCs w:val="22"/>
        </w:rPr>
      </w:pPr>
      <w:r>
        <w:rPr>
          <w:b/>
          <w:color w:val="000000"/>
          <w:sz w:val="22"/>
          <w:szCs w:val="22"/>
        </w:rPr>
      </w:r>
    </w:p>
    <w:p>
      <w:pPr>
        <w:pStyle w:val="Normal"/>
        <w:widowControl w:val="false"/>
        <w:tabs>
          <w:tab w:val="clear" w:pos="720"/>
          <w:tab w:val="left" w:pos="1188" w:leader="none"/>
        </w:tabs>
        <w:suppressAutoHyphens w:val="true"/>
        <w:bidi w:val="0"/>
        <w:spacing w:lineRule="auto" w:line="271" w:before="0" w:after="0"/>
        <w:ind w:left="1134" w:right="-454" w:hanging="0"/>
        <w:jc w:val="both"/>
        <w:rPr>
          <w:color w:val="000000"/>
          <w:sz w:val="22"/>
          <w:szCs w:val="22"/>
        </w:rPr>
      </w:pPr>
      <w:r>
        <w:rPr>
          <w:color w:val="000000"/>
          <w:sz w:val="22"/>
          <w:szCs w:val="22"/>
        </w:rPr>
        <w:t>7.3.1.1 Informatização dos dados da vida mecânica, quilometragem, custos, identificação do veículo e respectiva unidade responsável, datas e horários, tipos de peças, componentes e serviços a serem alimentados por meio eletrônico em base gerencial de dados disponíveis para as entidades contratantes.</w:t>
      </w:r>
    </w:p>
    <w:p>
      <w:pPr>
        <w:pStyle w:val="Normal"/>
        <w:widowControl w:val="false"/>
        <w:tabs>
          <w:tab w:val="clear" w:pos="720"/>
          <w:tab w:val="left" w:pos="1188" w:leader="none"/>
        </w:tabs>
        <w:suppressAutoHyphens w:val="true"/>
        <w:bidi w:val="0"/>
        <w:spacing w:lineRule="auto" w:line="271" w:before="0" w:after="0"/>
        <w:ind w:left="1134" w:right="-454" w:hanging="0"/>
        <w:jc w:val="both"/>
        <w:rPr>
          <w:sz w:val="22"/>
          <w:szCs w:val="22"/>
        </w:rPr>
      </w:pPr>
      <w:r>
        <w:rPr>
          <w:sz w:val="22"/>
          <w:szCs w:val="22"/>
        </w:rPr>
      </w:r>
    </w:p>
    <w:p>
      <w:pPr>
        <w:pStyle w:val="Normal"/>
        <w:widowControl w:val="false"/>
        <w:tabs>
          <w:tab w:val="clear" w:pos="720"/>
          <w:tab w:val="left" w:pos="1188" w:leader="none"/>
        </w:tabs>
        <w:suppressAutoHyphens w:val="true"/>
        <w:bidi w:val="0"/>
        <w:spacing w:lineRule="auto" w:line="271" w:before="0" w:after="0"/>
        <w:ind w:left="1134" w:right="-454" w:hanging="0"/>
        <w:jc w:val="both"/>
        <w:rPr>
          <w:color w:val="000000"/>
          <w:sz w:val="22"/>
          <w:szCs w:val="22"/>
        </w:rPr>
      </w:pPr>
      <w:r>
        <w:rPr>
          <w:color w:val="000000"/>
          <w:sz w:val="22"/>
          <w:szCs w:val="22"/>
        </w:rPr>
        <w:t xml:space="preserve">7.3.1.2 Processo de consolidação de dados e emissão de relatórios para o </w:t>
      </w:r>
      <w:r>
        <w:rPr>
          <w:b/>
          <w:color w:val="000000"/>
          <w:sz w:val="22"/>
          <w:szCs w:val="22"/>
        </w:rPr>
        <w:t xml:space="preserve">IF SertãoPE </w:t>
      </w:r>
      <w:r>
        <w:rPr>
          <w:color w:val="000000"/>
          <w:sz w:val="22"/>
          <w:szCs w:val="22"/>
        </w:rPr>
        <w:t>pela internet.</w:t>
      </w:r>
    </w:p>
    <w:p>
      <w:pPr>
        <w:pStyle w:val="Normal"/>
        <w:widowControl w:val="false"/>
        <w:tabs>
          <w:tab w:val="clear" w:pos="720"/>
          <w:tab w:val="left" w:pos="1188" w:leader="none"/>
        </w:tabs>
        <w:suppressAutoHyphens w:val="true"/>
        <w:bidi w:val="0"/>
        <w:spacing w:lineRule="auto" w:line="271" w:before="0" w:after="0"/>
        <w:ind w:left="1134" w:right="-454" w:hanging="0"/>
        <w:jc w:val="both"/>
        <w:rPr>
          <w:sz w:val="22"/>
          <w:szCs w:val="22"/>
        </w:rPr>
      </w:pPr>
      <w:r>
        <w:rPr>
          <w:sz w:val="22"/>
          <w:szCs w:val="22"/>
        </w:rPr>
      </w:r>
    </w:p>
    <w:p>
      <w:pPr>
        <w:pStyle w:val="Normal"/>
        <w:widowControl w:val="false"/>
        <w:tabs>
          <w:tab w:val="clear" w:pos="720"/>
          <w:tab w:val="left" w:pos="1188" w:leader="none"/>
        </w:tabs>
        <w:suppressAutoHyphens w:val="true"/>
        <w:bidi w:val="0"/>
        <w:spacing w:lineRule="auto" w:line="271" w:before="0" w:after="0"/>
        <w:ind w:left="1134" w:right="-454" w:hanging="0"/>
        <w:jc w:val="both"/>
        <w:rPr>
          <w:color w:val="000000"/>
          <w:sz w:val="22"/>
          <w:szCs w:val="22"/>
        </w:rPr>
      </w:pPr>
      <w:r>
        <w:rPr>
          <w:color w:val="000000"/>
          <w:sz w:val="22"/>
          <w:szCs w:val="22"/>
        </w:rPr>
        <w:t>7.3.1.3 As chamadas para realização das manutenções preventivas programadas devem ser realizadas por quilometragem atingida.</w:t>
      </w:r>
    </w:p>
    <w:p>
      <w:pPr>
        <w:pStyle w:val="Normal"/>
        <w:widowControl w:val="false"/>
        <w:tabs>
          <w:tab w:val="clear" w:pos="720"/>
          <w:tab w:val="left" w:pos="1188" w:leader="none"/>
        </w:tabs>
        <w:suppressAutoHyphens w:val="true"/>
        <w:bidi w:val="0"/>
        <w:spacing w:lineRule="auto" w:line="271" w:before="0" w:after="0"/>
        <w:ind w:left="1134" w:right="-454" w:hanging="0"/>
        <w:jc w:val="both"/>
        <w:rPr>
          <w:sz w:val="22"/>
          <w:szCs w:val="22"/>
        </w:rPr>
      </w:pPr>
      <w:r>
        <w:rPr>
          <w:sz w:val="22"/>
          <w:szCs w:val="22"/>
        </w:rPr>
      </w:r>
    </w:p>
    <w:p>
      <w:pPr>
        <w:pStyle w:val="Normal"/>
        <w:widowControl w:val="false"/>
        <w:tabs>
          <w:tab w:val="clear" w:pos="720"/>
          <w:tab w:val="left" w:pos="1188" w:leader="none"/>
        </w:tabs>
        <w:suppressAutoHyphens w:val="true"/>
        <w:bidi w:val="0"/>
        <w:spacing w:lineRule="auto" w:line="271" w:before="0" w:after="0"/>
        <w:ind w:left="1134" w:right="-454" w:hanging="0"/>
        <w:jc w:val="both"/>
        <w:rPr>
          <w:color w:val="000000"/>
          <w:sz w:val="22"/>
          <w:szCs w:val="22"/>
        </w:rPr>
      </w:pPr>
      <w:r>
        <w:rPr>
          <w:color w:val="000000"/>
          <w:sz w:val="22"/>
          <w:szCs w:val="22"/>
        </w:rPr>
        <w:t>7.3.1.4 Os avisos das chamadas para realização das manutenções preventivas devem ser enviados via web interface de gerenciamento.</w:t>
      </w:r>
    </w:p>
    <w:p>
      <w:pPr>
        <w:pStyle w:val="Normal"/>
        <w:widowControl w:val="false"/>
        <w:tabs>
          <w:tab w:val="clear" w:pos="720"/>
          <w:tab w:val="left" w:pos="890" w:leader="none"/>
        </w:tabs>
        <w:spacing w:lineRule="auto" w:line="271"/>
        <w:ind w:left="2151"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7.3.1.5 Os avisos para análise/aprovação das cotações/ordem de serviços solicitados devem ser enviados via web interface de gerenciamento.</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7.3.1.6 A captura dos dados dos veículos e dos condutores deve ser feita através de cartão com tarja magnética e via rede telefônica.</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7.3.1.7 Os cartões magnéticos devem ser para identificação dos veículos e os condutores devem ser identificados através de senha individual para não haver transações indevidas.</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7.3.1.8 Os sistemas de abastecimento e manutenção devem ser totalmente integrados e com apenas 01(um) a</w:t>
      </w:r>
      <w:r>
        <w:rPr>
          <w:sz w:val="22"/>
          <w:szCs w:val="22"/>
        </w:rPr>
        <w:t>cesso</w:t>
      </w:r>
      <w:r>
        <w:rPr>
          <w:color w:val="000000"/>
          <w:sz w:val="22"/>
          <w:szCs w:val="22"/>
        </w:rPr>
        <w:t>, sendo inclusive utilizado apenas 1 (um) cartão do veículo para o módulo de abastecimento de veículos e os serviços de manutenção vinculados à prévia autorização do gestor do sistema.</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7.3.1.9 O sistema deve permitir a identificação dos serviços que cada fornecedor está capacitado a executar através de cadastro de especialidades, assim como históricos de manutenção para auxiliar futuras negociações.</w:t>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7.3.1.10 O sistema deve permitir o controle de garantia de peças e mão de obra, alertando para esta garantia e informando o item e a oficina que devem atender a esta garantia.</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231" w:hanging="0"/>
        <w:jc w:val="both"/>
        <w:rPr>
          <w:color w:val="000000"/>
          <w:sz w:val="22"/>
          <w:szCs w:val="22"/>
        </w:rPr>
      </w:pPr>
      <w:r>
        <w:rPr>
          <w:color w:val="000000"/>
          <w:sz w:val="22"/>
          <w:szCs w:val="22"/>
        </w:rPr>
        <w:t xml:space="preserve">7.3.1.11 A Contratante faz a solicitação do serviço/fornecimento de peças, através do sistema informatizado da </w:t>
      </w:r>
      <w:r>
        <w:rPr>
          <w:sz w:val="22"/>
          <w:szCs w:val="22"/>
        </w:rPr>
        <w:t>contratada.</w:t>
      </w:r>
    </w:p>
    <w:p>
      <w:pPr>
        <w:pStyle w:val="Normal"/>
        <w:spacing w:lineRule="auto" w:line="276" w:before="9" w:after="140"/>
        <w:rPr>
          <w:color w:val="000000"/>
          <w:sz w:val="22"/>
          <w:szCs w:val="22"/>
          <w:u w:val="single"/>
        </w:rPr>
      </w:pPr>
      <w:r>
        <w:rPr>
          <w:color w:val="000000"/>
          <w:sz w:val="22"/>
          <w:szCs w:val="22"/>
          <w:u w:val="single"/>
        </w:rPr>
      </w:r>
    </w:p>
    <w:p>
      <w:pPr>
        <w:pStyle w:val="Normal"/>
        <w:widowControl w:val="false"/>
        <w:numPr>
          <w:ilvl w:val="1"/>
          <w:numId w:val="1"/>
        </w:numPr>
        <w:tabs>
          <w:tab w:val="clear" w:pos="720"/>
          <w:tab w:val="left" w:pos="735" w:leader="none"/>
        </w:tabs>
        <w:suppressAutoHyphens w:val="true"/>
        <w:bidi w:val="0"/>
        <w:spacing w:before="0" w:after="0"/>
        <w:ind w:left="0" w:right="0" w:hanging="0"/>
        <w:jc w:val="left"/>
        <w:rPr/>
      </w:pPr>
      <w:r>
        <w:rPr>
          <w:b/>
          <w:color w:val="000000"/>
          <w:sz w:val="22"/>
          <w:szCs w:val="22"/>
          <w:u w:val="single"/>
        </w:rPr>
        <w:t xml:space="preserve"> </w:t>
      </w:r>
      <w:r>
        <w:rPr>
          <w:b/>
          <w:color w:val="000000"/>
          <w:sz w:val="22"/>
          <w:szCs w:val="22"/>
        </w:rPr>
        <w:t>Rede de estabelecimentos especializados em serviços técnicos de manutenção</w:t>
      </w:r>
    </w:p>
    <w:p>
      <w:pPr>
        <w:pStyle w:val="Normal"/>
        <w:spacing w:lineRule="auto" w:line="276"/>
        <w:rPr>
          <w:b/>
          <w:b/>
          <w:color w:val="000000"/>
          <w:sz w:val="22"/>
          <w:szCs w:val="22"/>
        </w:rPr>
      </w:pPr>
      <w:r>
        <w:rPr>
          <w:b/>
          <w:color w:val="000000"/>
          <w:sz w:val="22"/>
          <w:szCs w:val="22"/>
        </w:rPr>
      </w:r>
    </w:p>
    <w:p>
      <w:pPr>
        <w:pStyle w:val="Normal"/>
        <w:widowControl w:val="false"/>
        <w:numPr>
          <w:ilvl w:val="2"/>
          <w:numId w:val="1"/>
        </w:numPr>
        <w:tabs>
          <w:tab w:val="clear" w:pos="720"/>
          <w:tab w:val="left" w:pos="426" w:leader="none"/>
        </w:tabs>
        <w:suppressAutoHyphens w:val="true"/>
        <w:bidi w:val="0"/>
        <w:spacing w:lineRule="auto" w:line="271" w:before="28" w:after="0"/>
        <w:ind w:left="567" w:right="0" w:hanging="0"/>
        <w:jc w:val="both"/>
        <w:rPr/>
      </w:pPr>
      <w:r>
        <w:rPr>
          <w:color w:val="000000"/>
          <w:sz w:val="22"/>
          <w:szCs w:val="22"/>
        </w:rPr>
        <w:t xml:space="preserve">A empresa vencedora deverá credenciar, </w:t>
      </w:r>
      <w:r>
        <w:rPr>
          <w:sz w:val="22"/>
          <w:szCs w:val="22"/>
        </w:rPr>
        <w:t>15</w:t>
      </w:r>
      <w:r>
        <w:rPr>
          <w:color w:val="000000"/>
          <w:sz w:val="22"/>
          <w:szCs w:val="22"/>
        </w:rPr>
        <w:t xml:space="preserve"> (quinze) dias após a assinatura do contrato, rede de estabelecimentos especializados em serviços técnicos de manutenção de veículos, inclusive, concessionárias dos fabricantes, nas capitais e nos interiores dos estados, sendo obrigatória a existência de mais de um estabelecimento credenciados, preferencialmente nos municípios de Floresta, Petrolina, Ouricuri, Salgueiro, Santa Maria e Serra Talhada, e/</w:t>
      </w:r>
      <w:bookmarkStart w:id="2" w:name="_Hlk80800469"/>
      <w:r>
        <w:rPr>
          <w:color w:val="000000"/>
          <w:sz w:val="22"/>
          <w:szCs w:val="22"/>
        </w:rPr>
        <w:t>ou num raio de até 150 Km dos municípios onde há Unidades do IF Sertão-PE</w:t>
      </w:r>
      <w:bookmarkEnd w:id="2"/>
      <w:r>
        <w:rPr>
          <w:color w:val="000000"/>
          <w:sz w:val="22"/>
          <w:szCs w:val="22"/>
        </w:rPr>
        <w:t xml:space="preserve"> (Campus ou Reitoria) do IF Sertão-PE. Além disso, a licitante vencedora deverá oferecer condições para o imediato credenciamento de oficinas mecânicas indicadas pela contratante nos municípios supracitados, devendo atender aos seguintes requisitos:</w:t>
      </w:r>
    </w:p>
    <w:p>
      <w:pPr>
        <w:pStyle w:val="Normal"/>
        <w:widowControl w:val="false"/>
        <w:tabs>
          <w:tab w:val="clear" w:pos="720"/>
          <w:tab w:val="left" w:pos="426" w:leader="none"/>
        </w:tabs>
        <w:spacing w:lineRule="auto" w:line="271" w:before="28" w:after="0"/>
        <w:ind w:left="1674" w:hanging="0"/>
        <w:jc w:val="both"/>
        <w:rPr>
          <w:sz w:val="22"/>
          <w:szCs w:val="22"/>
        </w:rPr>
      </w:pPr>
      <w:r>
        <w:rPr>
          <w:sz w:val="22"/>
          <w:szCs w:val="22"/>
        </w:rPr>
      </w:r>
    </w:p>
    <w:p>
      <w:pPr>
        <w:pStyle w:val="Normal"/>
        <w:widowControl w:val="false"/>
        <w:tabs>
          <w:tab w:val="clear" w:pos="720"/>
          <w:tab w:val="left" w:pos="1188" w:leader="none"/>
        </w:tabs>
        <w:suppressAutoHyphens w:val="true"/>
        <w:bidi w:val="0"/>
        <w:spacing w:before="0" w:after="0"/>
        <w:ind w:left="1134" w:right="0" w:hanging="0"/>
        <w:jc w:val="both"/>
        <w:rPr>
          <w:color w:val="000000"/>
          <w:sz w:val="22"/>
          <w:szCs w:val="22"/>
        </w:rPr>
      </w:pPr>
      <w:r>
        <w:rPr>
          <w:color w:val="000000"/>
          <w:sz w:val="22"/>
          <w:szCs w:val="22"/>
        </w:rPr>
        <w:t>7.4.1.1 Rede de oficinas mecânicas equipadas para aceitar transações do sistema tecnológico da empresa vencedora.</w:t>
      </w:r>
    </w:p>
    <w:p>
      <w:pPr>
        <w:pStyle w:val="Normal"/>
        <w:widowControl w:val="false"/>
        <w:tabs>
          <w:tab w:val="clear" w:pos="720"/>
          <w:tab w:val="left" w:pos="1188" w:leader="none"/>
        </w:tabs>
        <w:suppressAutoHyphens w:val="true"/>
        <w:bidi w:val="0"/>
        <w:spacing w:before="0" w:after="0"/>
        <w:ind w:left="1134" w:right="0" w:hanging="0"/>
        <w:jc w:val="both"/>
        <w:rPr>
          <w:sz w:val="22"/>
          <w:szCs w:val="22"/>
        </w:rPr>
      </w:pPr>
      <w:r>
        <w:rPr>
          <w:sz w:val="22"/>
          <w:szCs w:val="22"/>
        </w:rPr>
      </w:r>
    </w:p>
    <w:p>
      <w:pPr>
        <w:pStyle w:val="Normal"/>
        <w:widowControl w:val="false"/>
        <w:tabs>
          <w:tab w:val="clear" w:pos="720"/>
          <w:tab w:val="left" w:pos="1188" w:leader="none"/>
        </w:tabs>
        <w:suppressAutoHyphens w:val="true"/>
        <w:bidi w:val="0"/>
        <w:spacing w:before="0" w:after="0"/>
        <w:ind w:left="1134" w:right="0" w:hanging="0"/>
        <w:jc w:val="both"/>
        <w:rPr>
          <w:color w:val="000000"/>
          <w:sz w:val="22"/>
          <w:szCs w:val="22"/>
        </w:rPr>
      </w:pPr>
      <w:r>
        <w:rPr>
          <w:color w:val="000000"/>
          <w:sz w:val="22"/>
          <w:szCs w:val="22"/>
        </w:rPr>
        <w:t xml:space="preserve">7.4.1.2 Sistema tecnológico integrado para viabilizar o pagamento dos serviços de manutenção da frota de veículos do </w:t>
      </w:r>
      <w:r>
        <w:rPr>
          <w:b/>
          <w:color w:val="000000"/>
          <w:sz w:val="22"/>
          <w:szCs w:val="22"/>
        </w:rPr>
        <w:t xml:space="preserve">IFSertãoPE </w:t>
      </w:r>
      <w:r>
        <w:rPr>
          <w:color w:val="000000"/>
          <w:sz w:val="22"/>
          <w:szCs w:val="22"/>
        </w:rPr>
        <w:t>junto às oficinas credenciadas.</w:t>
      </w:r>
    </w:p>
    <w:p>
      <w:pPr>
        <w:pStyle w:val="Normal"/>
        <w:widowControl w:val="false"/>
        <w:tabs>
          <w:tab w:val="clear" w:pos="720"/>
          <w:tab w:val="left" w:pos="800" w:leader="none"/>
        </w:tabs>
        <w:ind w:left="1418" w:hanging="0"/>
        <w:jc w:val="both"/>
        <w:rPr>
          <w:sz w:val="22"/>
          <w:szCs w:val="22"/>
        </w:rPr>
      </w:pPr>
      <w:r>
        <w:rPr>
          <w:sz w:val="22"/>
          <w:szCs w:val="22"/>
        </w:rPr>
      </w:r>
    </w:p>
    <w:p>
      <w:pPr>
        <w:pStyle w:val="Normal"/>
        <w:widowControl w:val="false"/>
        <w:tabs>
          <w:tab w:val="clear" w:pos="720"/>
          <w:tab w:val="left" w:pos="800" w:leader="none"/>
        </w:tabs>
        <w:suppressAutoHyphens w:val="true"/>
        <w:bidi w:val="0"/>
        <w:spacing w:before="0" w:after="0"/>
        <w:ind w:left="1134" w:right="0" w:hanging="0"/>
        <w:jc w:val="both"/>
        <w:rPr/>
      </w:pPr>
      <w:r>
        <w:rPr>
          <w:color w:val="000000"/>
          <w:sz w:val="22"/>
          <w:szCs w:val="22"/>
        </w:rPr>
        <w:t>7.4.1.3 Em caso de veículo dentro da garantia de fábrica, a empresa vencedora deverá cadastrar Concessionárias Autorizadas para a execução dos serviços. Havendo mais de uma concessionária na região será proporcionada a livre concorrência, como ocorre com os veículos fora de garantias.</w:t>
      </w:r>
    </w:p>
    <w:p>
      <w:pPr>
        <w:pStyle w:val="Normal"/>
        <w:widowControl w:val="false"/>
        <w:tabs>
          <w:tab w:val="clear" w:pos="720"/>
          <w:tab w:val="left" w:pos="800" w:leader="none"/>
        </w:tabs>
        <w:ind w:left="993" w:hanging="0"/>
        <w:jc w:val="both"/>
        <w:rPr>
          <w:sz w:val="22"/>
          <w:szCs w:val="22"/>
        </w:rPr>
      </w:pPr>
      <w:r>
        <w:rPr>
          <w:sz w:val="22"/>
          <w:szCs w:val="22"/>
        </w:rPr>
      </w:r>
    </w:p>
    <w:p>
      <w:pPr>
        <w:pStyle w:val="Normal"/>
        <w:widowControl w:val="false"/>
        <w:tabs>
          <w:tab w:val="clear" w:pos="720"/>
          <w:tab w:val="left" w:pos="800" w:leader="none"/>
        </w:tabs>
        <w:suppressAutoHyphens w:val="true"/>
        <w:bidi w:val="0"/>
        <w:spacing w:before="0" w:after="0"/>
        <w:ind w:left="1134" w:right="0" w:hanging="0"/>
        <w:jc w:val="both"/>
        <w:rPr/>
      </w:pPr>
      <w:r>
        <w:rPr>
          <w:color w:val="000000"/>
          <w:sz w:val="22"/>
          <w:szCs w:val="22"/>
        </w:rPr>
        <w:t xml:space="preserve">7.4.1.4 Para a execução dos serviços técnicos de manutenção das frotas, o </w:t>
      </w:r>
      <w:r>
        <w:rPr>
          <w:b/>
          <w:color w:val="000000"/>
          <w:sz w:val="22"/>
          <w:szCs w:val="22"/>
        </w:rPr>
        <w:t xml:space="preserve">IFSertãoPE </w:t>
      </w:r>
      <w:r>
        <w:rPr>
          <w:color w:val="000000"/>
          <w:sz w:val="22"/>
          <w:szCs w:val="22"/>
        </w:rPr>
        <w:t>só aceitará como credenciadas pela empresa vencedora as oficinas que disponham dos seguintes requisitos mínimos abaixo especificados, salvo onde não há rede com capacidades exigidas:</w:t>
      </w:r>
    </w:p>
    <w:p>
      <w:pPr>
        <w:pStyle w:val="Normal"/>
        <w:widowControl w:val="false"/>
        <w:tabs>
          <w:tab w:val="clear" w:pos="720"/>
          <w:tab w:val="left" w:pos="800" w:leader="none"/>
        </w:tabs>
        <w:ind w:left="993" w:hanging="0"/>
        <w:jc w:val="both"/>
        <w:rPr>
          <w:sz w:val="22"/>
          <w:szCs w:val="22"/>
        </w:rPr>
      </w:pPr>
      <w:r>
        <w:rPr>
          <w:sz w:val="22"/>
          <w:szCs w:val="22"/>
        </w:rPr>
      </w:r>
    </w:p>
    <w:p>
      <w:pPr>
        <w:pStyle w:val="ListParagraph"/>
        <w:widowControl w:val="false"/>
        <w:numPr>
          <w:ilvl w:val="4"/>
          <w:numId w:val="7"/>
        </w:numPr>
        <w:tabs>
          <w:tab w:val="clear" w:pos="720"/>
          <w:tab w:val="left" w:pos="1701" w:leader="none"/>
        </w:tabs>
        <w:suppressAutoHyphens w:val="true"/>
        <w:bidi w:val="0"/>
        <w:spacing w:before="0" w:after="0"/>
        <w:ind w:left="1701" w:right="0" w:hanging="0"/>
        <w:contextualSpacing/>
        <w:jc w:val="both"/>
        <w:rPr/>
      </w:pPr>
      <w:r>
        <w:rPr>
          <w:color w:val="000000"/>
          <w:sz w:val="22"/>
          <w:szCs w:val="22"/>
        </w:rPr>
        <w:t xml:space="preserve"> </w:t>
      </w:r>
      <w:r>
        <w:rPr>
          <w:color w:val="000000"/>
          <w:sz w:val="22"/>
          <w:szCs w:val="22"/>
        </w:rPr>
        <w:t>Possuir microcomputador, impressora e conexão à internet, possibilitando a operacionalização dos serviços, via sistema;</w:t>
      </w:r>
    </w:p>
    <w:p>
      <w:pPr>
        <w:pStyle w:val="Normal"/>
        <w:widowControl w:val="false"/>
        <w:tabs>
          <w:tab w:val="clear" w:pos="720"/>
          <w:tab w:val="left" w:pos="1701" w:leader="none"/>
        </w:tabs>
        <w:ind w:left="1985" w:hanging="0"/>
        <w:jc w:val="both"/>
        <w:rPr>
          <w:sz w:val="22"/>
          <w:szCs w:val="22"/>
        </w:rPr>
      </w:pPr>
      <w:r>
        <w:rPr>
          <w:sz w:val="22"/>
          <w:szCs w:val="22"/>
        </w:rPr>
      </w:r>
    </w:p>
    <w:p>
      <w:pPr>
        <w:pStyle w:val="Normal"/>
        <w:widowControl w:val="false"/>
        <w:numPr>
          <w:ilvl w:val="4"/>
          <w:numId w:val="7"/>
        </w:numPr>
        <w:tabs>
          <w:tab w:val="clear" w:pos="720"/>
          <w:tab w:val="left" w:pos="1701" w:leader="none"/>
        </w:tabs>
        <w:suppressAutoHyphens w:val="true"/>
        <w:bidi w:val="0"/>
        <w:spacing w:before="0" w:after="0"/>
        <w:ind w:left="1701" w:right="0" w:hanging="0"/>
        <w:jc w:val="both"/>
        <w:rPr/>
      </w:pPr>
      <w:r>
        <w:rPr>
          <w:color w:val="000000"/>
          <w:sz w:val="22"/>
          <w:szCs w:val="22"/>
        </w:rPr>
        <w:t xml:space="preserve"> </w:t>
      </w:r>
      <w:r>
        <w:rPr>
          <w:color w:val="000000"/>
          <w:sz w:val="22"/>
          <w:szCs w:val="22"/>
        </w:rPr>
        <w:t>Disponibilizar boxes de serviços cobertos e delimitados em pátio pavimentado, dotados preferencialmente de bancadas de alvenaria com revestimento cerâmico ou com chapas de metal;</w:t>
      </w:r>
    </w:p>
    <w:p>
      <w:pPr>
        <w:pStyle w:val="Normal"/>
        <w:widowControl w:val="false"/>
        <w:tabs>
          <w:tab w:val="clear" w:pos="720"/>
          <w:tab w:val="left" w:pos="1701" w:leader="none"/>
        </w:tabs>
        <w:ind w:left="1985" w:hanging="0"/>
        <w:jc w:val="both"/>
        <w:rPr>
          <w:sz w:val="22"/>
          <w:szCs w:val="22"/>
        </w:rPr>
      </w:pPr>
      <w:r>
        <w:rPr>
          <w:sz w:val="22"/>
          <w:szCs w:val="22"/>
        </w:rPr>
      </w:r>
    </w:p>
    <w:p>
      <w:pPr>
        <w:pStyle w:val="Normal"/>
        <w:widowControl w:val="false"/>
        <w:numPr>
          <w:ilvl w:val="4"/>
          <w:numId w:val="7"/>
        </w:numPr>
        <w:tabs>
          <w:tab w:val="clear" w:pos="720"/>
          <w:tab w:val="left" w:pos="1701" w:leader="none"/>
        </w:tabs>
        <w:suppressAutoHyphens w:val="true"/>
        <w:bidi w:val="0"/>
        <w:spacing w:before="0" w:after="0"/>
        <w:ind w:left="1701" w:right="0" w:hanging="0"/>
        <w:jc w:val="both"/>
        <w:rPr/>
      </w:pPr>
      <w:r>
        <w:rPr>
          <w:color w:val="000000"/>
          <w:sz w:val="22"/>
          <w:szCs w:val="22"/>
        </w:rPr>
        <w:t xml:space="preserve"> </w:t>
      </w:r>
      <w:r>
        <w:rPr>
          <w:color w:val="000000"/>
          <w:sz w:val="22"/>
          <w:szCs w:val="22"/>
        </w:rPr>
        <w:t>Possuir equipamentos eletrônicos apropriados para aferições e regulagens de motores;</w:t>
      </w:r>
    </w:p>
    <w:p>
      <w:pPr>
        <w:pStyle w:val="Normal"/>
        <w:widowControl w:val="false"/>
        <w:tabs>
          <w:tab w:val="clear" w:pos="720"/>
          <w:tab w:val="left" w:pos="1701" w:leader="none"/>
        </w:tabs>
        <w:ind w:left="1985" w:hanging="0"/>
        <w:jc w:val="both"/>
        <w:rPr>
          <w:sz w:val="22"/>
          <w:szCs w:val="22"/>
        </w:rPr>
      </w:pPr>
      <w:r>
        <w:rPr>
          <w:sz w:val="22"/>
          <w:szCs w:val="22"/>
        </w:rPr>
      </w:r>
    </w:p>
    <w:p>
      <w:pPr>
        <w:pStyle w:val="Normal"/>
        <w:widowControl w:val="false"/>
        <w:numPr>
          <w:ilvl w:val="4"/>
          <w:numId w:val="7"/>
        </w:numPr>
        <w:tabs>
          <w:tab w:val="clear" w:pos="720"/>
          <w:tab w:val="left" w:pos="1701" w:leader="none"/>
          <w:tab w:val="left" w:pos="1988" w:leader="none"/>
        </w:tabs>
        <w:suppressAutoHyphens w:val="true"/>
        <w:bidi w:val="0"/>
        <w:spacing w:before="0" w:after="0"/>
        <w:ind w:left="1701" w:right="0" w:hanging="0"/>
        <w:jc w:val="both"/>
        <w:rPr/>
      </w:pPr>
      <w:r>
        <w:rPr>
          <w:color w:val="000000"/>
          <w:sz w:val="22"/>
          <w:szCs w:val="22"/>
        </w:rPr>
        <w:t xml:space="preserve"> </w:t>
      </w:r>
      <w:r>
        <w:rPr>
          <w:color w:val="000000"/>
          <w:sz w:val="22"/>
          <w:szCs w:val="22"/>
        </w:rPr>
        <w:t>Dispor de ferramental atualizado para atendimento das frotas das respectivas categorias de sua responsabilidade.</w:t>
      </w:r>
    </w:p>
    <w:p>
      <w:pPr>
        <w:pStyle w:val="Normal"/>
        <w:widowControl w:val="false"/>
        <w:tabs>
          <w:tab w:val="clear" w:pos="720"/>
          <w:tab w:val="left" w:pos="800" w:leader="none"/>
        </w:tabs>
        <w:ind w:left="1276" w:hanging="0"/>
        <w:rPr>
          <w:color w:val="000000"/>
          <w:sz w:val="22"/>
          <w:szCs w:val="22"/>
        </w:rPr>
      </w:pPr>
      <w:r>
        <w:rPr>
          <w:color w:val="000000"/>
          <w:sz w:val="22"/>
          <w:szCs w:val="22"/>
        </w:rPr>
      </w:r>
    </w:p>
    <w:p>
      <w:pPr>
        <w:pStyle w:val="Normal"/>
        <w:widowControl w:val="false"/>
        <w:tabs>
          <w:tab w:val="clear" w:pos="720"/>
          <w:tab w:val="left" w:pos="959" w:leader="none"/>
        </w:tabs>
        <w:suppressAutoHyphens w:val="true"/>
        <w:bidi w:val="0"/>
        <w:spacing w:lineRule="auto" w:line="271" w:before="0" w:after="0"/>
        <w:ind w:left="567" w:right="0" w:hanging="0"/>
        <w:jc w:val="both"/>
        <w:rPr/>
      </w:pPr>
      <w:r>
        <w:rPr>
          <w:color w:val="000000"/>
          <w:sz w:val="22"/>
          <w:szCs w:val="22"/>
        </w:rPr>
        <w:t xml:space="preserve"> </w:t>
      </w:r>
      <w:r>
        <w:rPr>
          <w:color w:val="000000"/>
          <w:sz w:val="22"/>
          <w:szCs w:val="22"/>
        </w:rPr>
        <w:t>7.4.2 A CONTRATANTE poderá solicitar da CONTRATADA o credenciamento de novas oficinas para atendimento de uma demanda específica uma vez identificada a impossibilidade de realização dos serviços pelas oficinas já credenciadas.</w:t>
      </w:r>
    </w:p>
    <w:p>
      <w:pPr>
        <w:pStyle w:val="Normal"/>
        <w:widowControl w:val="false"/>
        <w:tabs>
          <w:tab w:val="clear" w:pos="720"/>
          <w:tab w:val="left" w:pos="959" w:leader="none"/>
        </w:tabs>
        <w:spacing w:lineRule="auto" w:line="271"/>
        <w:ind w:left="709" w:hanging="0"/>
        <w:jc w:val="both"/>
        <w:rPr>
          <w:color w:val="000000"/>
          <w:sz w:val="22"/>
          <w:szCs w:val="22"/>
        </w:rPr>
      </w:pPr>
      <w:r>
        <w:rPr>
          <w:color w:val="000000"/>
          <w:sz w:val="22"/>
          <w:szCs w:val="22"/>
        </w:rPr>
      </w:r>
    </w:p>
    <w:p>
      <w:pPr>
        <w:pStyle w:val="Normal"/>
        <w:widowControl w:val="false"/>
        <w:tabs>
          <w:tab w:val="clear" w:pos="720"/>
          <w:tab w:val="left" w:pos="959" w:leader="none"/>
        </w:tabs>
        <w:suppressAutoHyphens w:val="true"/>
        <w:bidi w:val="0"/>
        <w:spacing w:lineRule="auto" w:line="271" w:before="0" w:after="0"/>
        <w:ind w:left="567" w:right="0" w:hanging="0"/>
        <w:jc w:val="both"/>
        <w:rPr/>
      </w:pPr>
      <w:r>
        <w:rPr>
          <w:color w:val="000000"/>
          <w:sz w:val="22"/>
          <w:szCs w:val="22"/>
        </w:rPr>
        <w:t>7.4.3 A CONTRATADA deverá ampliar a sua rede de credenciamento inserindo mais de um fornecedor para uma mesma especialidade, nas localidades indicadas no Anexo I/B deste Termo.</w:t>
      </w:r>
    </w:p>
    <w:p>
      <w:pPr>
        <w:pStyle w:val="Normal"/>
        <w:spacing w:lineRule="auto" w:line="276" w:before="7" w:after="140"/>
        <w:jc w:val="both"/>
        <w:rPr>
          <w:b/>
          <w:b/>
          <w:color w:val="000000"/>
          <w:sz w:val="22"/>
          <w:szCs w:val="22"/>
        </w:rPr>
      </w:pPr>
      <w:r>
        <w:rPr>
          <w:b/>
          <w:color w:val="000000"/>
          <w:sz w:val="22"/>
          <w:szCs w:val="22"/>
        </w:rPr>
      </w:r>
    </w:p>
    <w:p>
      <w:pPr>
        <w:pStyle w:val="Normal"/>
        <w:widowControl w:val="false"/>
        <w:numPr>
          <w:ilvl w:val="1"/>
          <w:numId w:val="7"/>
        </w:numPr>
        <w:tabs>
          <w:tab w:val="clear" w:pos="720"/>
          <w:tab w:val="left" w:pos="735" w:leader="none"/>
        </w:tabs>
        <w:suppressAutoHyphens w:val="true"/>
        <w:bidi w:val="0"/>
        <w:spacing w:before="0" w:after="0"/>
        <w:ind w:left="0" w:right="0" w:hanging="0"/>
        <w:jc w:val="both"/>
        <w:rPr/>
      </w:pPr>
      <w:r>
        <w:rPr>
          <w:b/>
          <w:color w:val="000000"/>
          <w:sz w:val="22"/>
          <w:szCs w:val="22"/>
        </w:rPr>
        <w:t xml:space="preserve"> </w:t>
      </w:r>
      <w:r>
        <w:rPr>
          <w:b/>
          <w:color w:val="000000"/>
          <w:sz w:val="22"/>
          <w:szCs w:val="22"/>
        </w:rPr>
        <w:t>Da prestação dos serviços pelas oficinas</w:t>
      </w:r>
    </w:p>
    <w:p>
      <w:pPr>
        <w:pStyle w:val="Normal"/>
        <w:rPr>
          <w:b/>
          <w:b/>
          <w:color w:val="000000"/>
          <w:sz w:val="22"/>
          <w:szCs w:val="22"/>
        </w:rPr>
      </w:pPr>
      <w:r>
        <w:rPr>
          <w:b/>
          <w:color w:val="000000"/>
          <w:sz w:val="22"/>
          <w:szCs w:val="22"/>
        </w:rPr>
      </w:r>
    </w:p>
    <w:p>
      <w:pPr>
        <w:pStyle w:val="Normal"/>
        <w:widowControl w:val="false"/>
        <w:numPr>
          <w:ilvl w:val="2"/>
          <w:numId w:val="7"/>
        </w:numPr>
        <w:tabs>
          <w:tab w:val="clear" w:pos="720"/>
          <w:tab w:val="left" w:pos="885" w:leader="none"/>
        </w:tabs>
        <w:suppressAutoHyphens w:val="true"/>
        <w:bidi w:val="0"/>
        <w:spacing w:before="0" w:after="0"/>
        <w:ind w:left="567" w:right="0" w:hanging="0"/>
        <w:jc w:val="both"/>
        <w:rPr/>
      </w:pPr>
      <w:r>
        <w:rPr>
          <w:color w:val="000000"/>
          <w:sz w:val="22"/>
          <w:szCs w:val="22"/>
        </w:rPr>
        <w:t>As oficinas credenciadas deverão:</w:t>
      </w:r>
    </w:p>
    <w:p>
      <w:pPr>
        <w:pStyle w:val="Normal"/>
        <w:spacing w:lineRule="auto" w:line="276"/>
        <w:ind w:left="567" w:hanging="0"/>
        <w:rPr>
          <w:color w:val="000000"/>
          <w:sz w:val="22"/>
          <w:szCs w:val="22"/>
        </w:rPr>
      </w:pPr>
      <w:r>
        <w:rPr>
          <w:color w:val="000000"/>
          <w:sz w:val="22"/>
          <w:szCs w:val="22"/>
        </w:rPr>
      </w:r>
    </w:p>
    <w:p>
      <w:pPr>
        <w:pStyle w:val="Normal"/>
        <w:widowControl w:val="false"/>
        <w:tabs>
          <w:tab w:val="clear" w:pos="720"/>
          <w:tab w:val="left" w:pos="765" w:leader="none"/>
        </w:tabs>
        <w:suppressAutoHyphens w:val="true"/>
        <w:bidi w:val="0"/>
        <w:spacing w:before="0" w:after="0"/>
        <w:ind w:left="1134" w:right="-283" w:hanging="0"/>
        <w:jc w:val="both"/>
        <w:rPr/>
      </w:pPr>
      <w:r>
        <w:rPr>
          <w:color w:val="000000"/>
          <w:sz w:val="22"/>
          <w:szCs w:val="22"/>
        </w:rPr>
        <w:t>7.5.1.1 Executar os serviços de manutenção automotiva preventiva e corretiva de acordo com sua especialidade, com fornecimento de peças, componentes e demais materiais destinados à manutenção e suas instalações, independentemente da marca do veículo, pertencentes a frota do IF Sertão-PE.</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077" w:right="-283" w:hanging="0"/>
        <w:jc w:val="both"/>
        <w:rPr/>
      </w:pPr>
      <w:r>
        <w:rPr>
          <w:color w:val="000000"/>
          <w:sz w:val="22"/>
          <w:szCs w:val="22"/>
        </w:rPr>
        <w:t xml:space="preserve"> </w:t>
      </w:r>
      <w:r>
        <w:rPr>
          <w:color w:val="000000"/>
          <w:sz w:val="22"/>
          <w:szCs w:val="22"/>
        </w:rPr>
        <w:t>7.5.1.2 Executar os serviços solicitados, com pessoal qualificado, mediante o emprego de técnica e ferramental, adequados.</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pPr>
      <w:r>
        <w:rPr>
          <w:color w:val="000000"/>
          <w:sz w:val="22"/>
          <w:szCs w:val="22"/>
        </w:rPr>
        <w:t>7.5.1.3 Devolver os veículos para as entidades em perfeitas condições de uso e funcionamento.</w:t>
      </w:r>
    </w:p>
    <w:p>
      <w:pPr>
        <w:pStyle w:val="Normal"/>
        <w:widowControl w:val="false"/>
        <w:tabs>
          <w:tab w:val="clear" w:pos="720"/>
          <w:tab w:val="left" w:pos="765" w:leader="none"/>
        </w:tabs>
        <w:ind w:left="2151" w:right="-285"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pPr>
      <w:r>
        <w:rPr>
          <w:color w:val="000000"/>
          <w:sz w:val="22"/>
          <w:szCs w:val="22"/>
        </w:rPr>
        <w:t xml:space="preserve">7.5.1.4 Executar fielmente, dentro das melhores normas técnicas, os serviços que lhe forem confiados, de acordo com as especificações de fábrica e rigorosa observância aos demais detalhes emanados e/ou aprovados pelo </w:t>
      </w:r>
      <w:r>
        <w:rPr>
          <w:b/>
          <w:color w:val="000000"/>
          <w:sz w:val="22"/>
          <w:szCs w:val="22"/>
        </w:rPr>
        <w:t>IFSertãoPE</w:t>
      </w:r>
      <w:r>
        <w:rPr>
          <w:color w:val="000000"/>
          <w:sz w:val="22"/>
          <w:szCs w:val="22"/>
        </w:rPr>
        <w:t>, bem como executar tudo o que não for explicitamente mencionado, mas que seja necessário à perfeita execução dos serviços, desde que aprovado previamente.</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color w:val="000000"/>
          <w:sz w:val="22"/>
          <w:szCs w:val="22"/>
        </w:rPr>
      </w:pPr>
      <w:r>
        <w:rPr>
          <w:color w:val="000000"/>
          <w:sz w:val="22"/>
          <w:szCs w:val="22"/>
        </w:rPr>
        <w:t>7.5.1.5 Utilizar somente peças, materiais e acessórios novos, preferencialmente originais ou genuínas do fabricante.</w:t>
      </w:r>
    </w:p>
    <w:p>
      <w:pPr>
        <w:pStyle w:val="Normal"/>
        <w:widowControl w:val="false"/>
        <w:tabs>
          <w:tab w:val="clear" w:pos="720"/>
          <w:tab w:val="left" w:pos="765" w:leader="none"/>
        </w:tabs>
        <w:suppressAutoHyphens w:val="true"/>
        <w:bidi w:val="0"/>
        <w:spacing w:before="0" w:after="0"/>
        <w:ind w:left="1134" w:right="-283"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color w:val="000000"/>
          <w:sz w:val="22"/>
          <w:szCs w:val="22"/>
        </w:rPr>
      </w:pPr>
      <w:r>
        <w:rPr>
          <w:color w:val="000000"/>
          <w:sz w:val="22"/>
          <w:szCs w:val="22"/>
        </w:rPr>
        <w:t>7.5.1.6 Manter um supervisor responsável pelo gerenciamento dos serviços, com poderes de representante ou preposto</w:t>
      </w:r>
      <w:r>
        <w:rPr>
          <w:b/>
          <w:color w:val="000000"/>
          <w:sz w:val="22"/>
          <w:szCs w:val="22"/>
        </w:rPr>
        <w:t>,</w:t>
      </w:r>
      <w:r>
        <w:rPr>
          <w:color w:val="000000"/>
          <w:sz w:val="22"/>
          <w:szCs w:val="22"/>
        </w:rPr>
        <w:t xml:space="preserve"> para tratar com a autoridade competente da contratante.</w:t>
      </w:r>
    </w:p>
    <w:p>
      <w:pPr>
        <w:pStyle w:val="Normal"/>
        <w:widowControl w:val="false"/>
        <w:tabs>
          <w:tab w:val="clear" w:pos="720"/>
          <w:tab w:val="left" w:pos="765" w:leader="none"/>
        </w:tabs>
        <w:suppressAutoHyphens w:val="true"/>
        <w:bidi w:val="0"/>
        <w:spacing w:before="0" w:after="0"/>
        <w:ind w:left="1134" w:right="-283"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color w:val="000000"/>
          <w:sz w:val="22"/>
          <w:szCs w:val="22"/>
        </w:rPr>
      </w:pPr>
      <w:r>
        <w:rPr>
          <w:color w:val="000000"/>
          <w:sz w:val="22"/>
          <w:szCs w:val="22"/>
        </w:rPr>
        <w:t xml:space="preserve">7.5.1.7 Atender com prioridade às solicitações efetuadas pelo </w:t>
      </w:r>
      <w:r>
        <w:rPr>
          <w:b/>
          <w:color w:val="000000"/>
          <w:sz w:val="22"/>
          <w:szCs w:val="22"/>
        </w:rPr>
        <w:t>IFSertãoPE</w:t>
      </w:r>
      <w:r>
        <w:rPr>
          <w:color w:val="000000"/>
          <w:sz w:val="22"/>
          <w:szCs w:val="22"/>
        </w:rPr>
        <w:t>, para a execução de serviços.</w:t>
      </w:r>
    </w:p>
    <w:p>
      <w:pPr>
        <w:pStyle w:val="Normal"/>
        <w:widowControl w:val="false"/>
        <w:tabs>
          <w:tab w:val="clear" w:pos="720"/>
          <w:tab w:val="left" w:pos="765" w:leader="none"/>
        </w:tabs>
        <w:suppressAutoHyphens w:val="true"/>
        <w:bidi w:val="0"/>
        <w:spacing w:before="0" w:after="0"/>
        <w:ind w:left="1134" w:right="-283"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color w:val="000000"/>
          <w:sz w:val="22"/>
          <w:szCs w:val="22"/>
        </w:rPr>
      </w:pPr>
      <w:r>
        <w:rPr>
          <w:color w:val="000000"/>
          <w:sz w:val="22"/>
          <w:szCs w:val="22"/>
        </w:rPr>
        <w:t>7.5.1.8 Fornecer em seu orçamento a relação das peças, componentes e materiais a serem trocados, bem como o volume de tempo de serviço e o custo do homem/hora a ser empregado, para aprovação da autoridade competente ou fiscal do contrato.</w:t>
      </w:r>
    </w:p>
    <w:p>
      <w:pPr>
        <w:pStyle w:val="Normal"/>
        <w:widowControl w:val="false"/>
        <w:tabs>
          <w:tab w:val="clear" w:pos="720"/>
          <w:tab w:val="left" w:pos="765" w:leader="none"/>
        </w:tabs>
        <w:suppressAutoHyphens w:val="true"/>
        <w:bidi w:val="0"/>
        <w:spacing w:before="0" w:after="0"/>
        <w:ind w:left="1134" w:right="-283"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color w:val="000000"/>
          <w:sz w:val="22"/>
          <w:szCs w:val="22"/>
        </w:rPr>
      </w:pPr>
      <w:r>
        <w:rPr>
          <w:color w:val="000000"/>
          <w:sz w:val="22"/>
          <w:szCs w:val="22"/>
        </w:rPr>
        <w:t>7.5.1.9 Prestar todos os esclarecimentos que forem solicitados pela Instituição.</w:t>
      </w:r>
    </w:p>
    <w:p>
      <w:pPr>
        <w:pStyle w:val="Normal"/>
        <w:widowControl w:val="false"/>
        <w:tabs>
          <w:tab w:val="clear" w:pos="720"/>
          <w:tab w:val="left" w:pos="765" w:leader="none"/>
        </w:tabs>
        <w:suppressAutoHyphens w:val="true"/>
        <w:bidi w:val="0"/>
        <w:spacing w:before="0" w:after="0"/>
        <w:ind w:left="1134" w:right="-283"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color w:val="000000"/>
          <w:sz w:val="22"/>
          <w:szCs w:val="22"/>
        </w:rPr>
      </w:pPr>
      <w:r>
        <w:rPr>
          <w:color w:val="000000"/>
          <w:sz w:val="22"/>
          <w:szCs w:val="22"/>
        </w:rPr>
        <w:t>7.5.1.10 Não aplicar materiais/serviços sem prévia autorização da Coordenação de Manutenção e Transporte e/ou Departamento/Diretoria de Administração e Planejamento (DAP) da Unidade do IF Sertão-PE.</w:t>
      </w:r>
    </w:p>
    <w:p>
      <w:pPr>
        <w:pStyle w:val="Normal"/>
        <w:widowControl w:val="false"/>
        <w:tabs>
          <w:tab w:val="clear" w:pos="720"/>
          <w:tab w:val="left" w:pos="765" w:leader="none"/>
        </w:tabs>
        <w:suppressAutoHyphens w:val="true"/>
        <w:bidi w:val="0"/>
        <w:spacing w:before="0" w:after="0"/>
        <w:ind w:left="1134" w:right="-283"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color w:val="000000"/>
          <w:sz w:val="22"/>
          <w:szCs w:val="22"/>
        </w:rPr>
      </w:pPr>
      <w:r>
        <w:rPr>
          <w:color w:val="000000"/>
          <w:sz w:val="22"/>
          <w:szCs w:val="22"/>
        </w:rPr>
        <w:t xml:space="preserve">7.5.1.11 Disponibilizar local adequado para inspeção prévia de todas as peças a serem substituídas nos veículos, fornecendo relação das mesmas e respectivos códigos que serão verificados por servidor ou Comissão designado (s) pela autoridade competente do </w:t>
      </w:r>
      <w:r>
        <w:rPr>
          <w:b/>
          <w:color w:val="000000"/>
          <w:sz w:val="22"/>
          <w:szCs w:val="22"/>
        </w:rPr>
        <w:t>IFSertãoPE</w:t>
      </w:r>
      <w:r>
        <w:rPr>
          <w:color w:val="000000"/>
          <w:sz w:val="22"/>
          <w:szCs w:val="22"/>
        </w:rPr>
        <w:t>.</w:t>
      </w:r>
    </w:p>
    <w:p>
      <w:pPr>
        <w:pStyle w:val="Normal"/>
        <w:widowControl w:val="false"/>
        <w:tabs>
          <w:tab w:val="clear" w:pos="720"/>
          <w:tab w:val="left" w:pos="765" w:leader="none"/>
        </w:tabs>
        <w:suppressAutoHyphens w:val="true"/>
        <w:bidi w:val="0"/>
        <w:spacing w:before="0" w:after="0"/>
        <w:ind w:left="1134" w:right="-283"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pPr>
      <w:r>
        <w:rPr>
          <w:color w:val="000000"/>
          <w:sz w:val="22"/>
          <w:szCs w:val="22"/>
        </w:rPr>
        <w:t>7.5.1.12 Receber e fazer a inspeção dos veículos na chegada e saída da oficina.</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pPr>
      <w:r>
        <w:rPr>
          <w:color w:val="000000"/>
          <w:sz w:val="22"/>
          <w:szCs w:val="22"/>
        </w:rPr>
        <w:t xml:space="preserve">7.5.1.13 Enviar ao </w:t>
      </w:r>
      <w:r>
        <w:rPr>
          <w:b/>
          <w:color w:val="000000"/>
          <w:sz w:val="22"/>
          <w:szCs w:val="22"/>
        </w:rPr>
        <w:t>IFSertãoPE</w:t>
      </w:r>
      <w:r>
        <w:rPr>
          <w:color w:val="000000"/>
          <w:sz w:val="22"/>
          <w:szCs w:val="22"/>
        </w:rPr>
        <w:t>, pela internet, por meio do sistema informatizado da empresa vencedora, orçamento dos serviços necessários a serem aplicados no veículo, com descrição das peças, materiais e serviços com os tempos de execução em horas centesimais e preços líquidos.</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pPr>
      <w:r>
        <w:rPr>
          <w:color w:val="000000"/>
          <w:sz w:val="22"/>
          <w:szCs w:val="22"/>
        </w:rPr>
        <w:t>7.5.1.14 Executar os serviços, somente quando forem autorizados, mediante o recebimento pela internet da Ordem de Serviço expedida pelo Setor Competente, por meio do sistema informatizado da empresa vencedora, ou conforme orientações do gestor do Setor Competente.</w:t>
      </w:r>
    </w:p>
    <w:p>
      <w:pPr>
        <w:pStyle w:val="Normal"/>
        <w:widowControl w:val="false"/>
        <w:tabs>
          <w:tab w:val="clear" w:pos="720"/>
          <w:tab w:val="left" w:pos="765" w:leader="none"/>
        </w:tabs>
        <w:ind w:left="2151" w:right="-285" w:hanging="0"/>
        <w:jc w:val="both"/>
        <w:rPr>
          <w:sz w:val="22"/>
          <w:szCs w:val="22"/>
        </w:rPr>
      </w:pPr>
      <w:r>
        <w:rPr>
          <w:sz w:val="22"/>
          <w:szCs w:val="22"/>
        </w:rPr>
      </w:r>
    </w:p>
    <w:p>
      <w:pPr>
        <w:pStyle w:val="Normal"/>
        <w:widowControl w:val="false"/>
        <w:tabs>
          <w:tab w:val="clear" w:pos="720"/>
          <w:tab w:val="left" w:pos="765" w:leader="none"/>
        </w:tabs>
        <w:suppressAutoHyphens w:val="true"/>
        <w:bidi w:val="0"/>
        <w:spacing w:before="0" w:after="0"/>
        <w:ind w:left="1134" w:right="-283" w:hanging="0"/>
        <w:jc w:val="both"/>
        <w:rPr/>
      </w:pPr>
      <w:r>
        <w:rPr>
          <w:color w:val="000000"/>
          <w:sz w:val="22"/>
          <w:szCs w:val="22"/>
        </w:rPr>
        <w:t>7.5.1.15 Fornecer peças e componentes novos preferencialmente originais ou genuínas para todos os veículos das frotas e, quando necessária, a substituição.</w:t>
      </w:r>
    </w:p>
    <w:p>
      <w:pPr>
        <w:pStyle w:val="Normal"/>
        <w:widowControl w:val="false"/>
        <w:tabs>
          <w:tab w:val="clear" w:pos="720"/>
          <w:tab w:val="left" w:pos="765" w:leader="none"/>
        </w:tabs>
        <w:ind w:left="2151" w:right="-285" w:hanging="0"/>
        <w:jc w:val="both"/>
        <w:rPr>
          <w:sz w:val="22"/>
          <w:szCs w:val="22"/>
        </w:rPr>
      </w:pPr>
      <w:r>
        <w:rPr>
          <w:sz w:val="22"/>
          <w:szCs w:val="22"/>
        </w:rPr>
      </w:r>
    </w:p>
    <w:p>
      <w:pPr>
        <w:pStyle w:val="Normal"/>
        <w:widowControl w:val="false"/>
        <w:tabs>
          <w:tab w:val="clear" w:pos="720"/>
          <w:tab w:val="left" w:pos="765" w:leader="none"/>
        </w:tabs>
        <w:ind w:left="1134" w:right="-285" w:hanging="0"/>
        <w:jc w:val="both"/>
        <w:rPr>
          <w:color w:val="000000"/>
          <w:sz w:val="22"/>
          <w:szCs w:val="22"/>
        </w:rPr>
      </w:pPr>
      <w:r>
        <w:rPr>
          <w:color w:val="000000"/>
          <w:sz w:val="22"/>
          <w:szCs w:val="22"/>
        </w:rPr>
        <w:t>7.5.1.16 Responder civil e penalmente pelo descumprimento de quaisquer disposições legais, inclusive por acidentes decorrentes da sua ação ou omissão, que ocorram durante a realização dos serviços objeto da contratação.</w:t>
      </w:r>
    </w:p>
    <w:p>
      <w:pPr>
        <w:pStyle w:val="Normal"/>
        <w:widowControl w:val="false"/>
        <w:tabs>
          <w:tab w:val="clear" w:pos="720"/>
          <w:tab w:val="left" w:pos="765"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t xml:space="preserve">7.5.1.17 O </w:t>
      </w:r>
      <w:r>
        <w:rPr>
          <w:b/>
          <w:color w:val="000000"/>
          <w:sz w:val="22"/>
          <w:szCs w:val="22"/>
        </w:rPr>
        <w:t>IFSertãoPE</w:t>
      </w:r>
      <w:r>
        <w:rPr>
          <w:color w:val="000000"/>
          <w:sz w:val="22"/>
          <w:szCs w:val="22"/>
        </w:rPr>
        <w:t xml:space="preserve">, através de cotações, definirá a oficina credenciada e que executará os serviços de manutenção veicular, em estrita obediência à legislação, efetuando, no mínimo, três cotações de preços para cada peça a ser substituída, salvo em casos excepcionais. </w:t>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t>7.5.1.18 A oficina credenciada pelo licitante vencedor somente substituirá peças e executará os serviços quando comprovada a necessidade, mediante prévio orçamento aprovado pelo IF Sertão-PE, ficando a CONTRATADA responsável sobre custos indevidos que sejam arcados pelo IF Sertão-PE em função de substituições desnecessárias.</w:t>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t>7.5.1.19  Em serviços de manutenção preventiva e/ou corretiva, se for detectada a necessidade de substituição de peças e componentes, a oficina credenciada pelo licitante vencedor, deverá apresentar o orçamento dos itens necessários, que será comparado aos valores de mercado e, somente após essa comparação, poderá ser autorizada a substituição de peças e execução dos serviços.</w:t>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t>7.5.1.20 A substituição das peças e componentes deverá ser efetuada com peças originais ou genuínas de primeiro uso, não recondicionadas, recomendadas pelo fabricante e por normas técnicas vigentes.</w:t>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t xml:space="preserve">7.5.1.21 As peças substituídas deverão ser devolvidas à fiscalização do </w:t>
      </w:r>
      <w:r>
        <w:rPr>
          <w:b/>
          <w:color w:val="000000"/>
          <w:sz w:val="22"/>
          <w:szCs w:val="22"/>
        </w:rPr>
        <w:t>IFSertãoPE</w:t>
      </w:r>
      <w:r>
        <w:rPr>
          <w:color w:val="000000"/>
          <w:sz w:val="22"/>
          <w:szCs w:val="22"/>
        </w:rPr>
        <w:t>.</w:t>
      </w:r>
    </w:p>
    <w:p>
      <w:pPr>
        <w:pStyle w:val="Normal"/>
        <w:ind w:left="1134" w:right="-143" w:hanging="0"/>
        <w:jc w:val="both"/>
        <w:rPr>
          <w:color w:val="000000"/>
          <w:sz w:val="22"/>
          <w:szCs w:val="22"/>
        </w:rPr>
      </w:pPr>
      <w:r>
        <w:rPr>
          <w:color w:val="000000"/>
          <w:sz w:val="22"/>
          <w:szCs w:val="22"/>
        </w:rPr>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t xml:space="preserve">7.5.1.22 Todas as manutenções deverão ser feitas por pessoal qualificado e os registros de manutenção devem ser fornecidos e arquivados junto ao </w:t>
      </w:r>
      <w:r>
        <w:rPr>
          <w:b/>
          <w:color w:val="000000"/>
          <w:sz w:val="22"/>
          <w:szCs w:val="22"/>
        </w:rPr>
        <w:t>IF SertãoPE</w:t>
      </w:r>
      <w:r>
        <w:rPr>
          <w:color w:val="000000"/>
          <w:sz w:val="22"/>
          <w:szCs w:val="22"/>
        </w:rPr>
        <w:t>.</w:t>
      </w:r>
    </w:p>
    <w:p>
      <w:pPr>
        <w:pStyle w:val="Normal"/>
        <w:ind w:left="720" w:hanging="0"/>
        <w:rPr>
          <w:color w:val="000000"/>
          <w:sz w:val="22"/>
          <w:szCs w:val="22"/>
        </w:rPr>
      </w:pPr>
      <w:r>
        <w:rPr>
          <w:color w:val="000000"/>
          <w:sz w:val="22"/>
          <w:szCs w:val="22"/>
        </w:rPr>
      </w:r>
    </w:p>
    <w:p>
      <w:pPr>
        <w:pStyle w:val="Normal"/>
        <w:widowControl w:val="false"/>
        <w:numPr>
          <w:ilvl w:val="1"/>
          <w:numId w:val="7"/>
        </w:numPr>
        <w:tabs>
          <w:tab w:val="clear" w:pos="720"/>
          <w:tab w:val="left" w:pos="889" w:leader="none"/>
        </w:tabs>
        <w:suppressAutoHyphens w:val="true"/>
        <w:bidi w:val="0"/>
        <w:spacing w:lineRule="auto" w:line="271" w:before="0" w:after="0"/>
        <w:ind w:left="0" w:right="227" w:hanging="0"/>
        <w:jc w:val="both"/>
        <w:rPr/>
      </w:pPr>
      <w:r>
        <w:rPr>
          <w:color w:val="000000"/>
          <w:sz w:val="22"/>
          <w:szCs w:val="22"/>
        </w:rPr>
        <w:t xml:space="preserve"> </w:t>
      </w:r>
      <w:r>
        <w:rPr>
          <w:b/>
          <w:color w:val="000000"/>
          <w:sz w:val="22"/>
          <w:szCs w:val="22"/>
        </w:rPr>
        <w:t>Dos produtos a serem fornecidos e dos serviços a serem prestados pela rede credenciada:</w:t>
      </w:r>
    </w:p>
    <w:p>
      <w:pPr>
        <w:pStyle w:val="Normal"/>
        <w:widowControl w:val="false"/>
        <w:tabs>
          <w:tab w:val="clear" w:pos="720"/>
          <w:tab w:val="left" w:pos="889" w:leader="none"/>
        </w:tabs>
        <w:ind w:left="851" w:right="232" w:hanging="0"/>
        <w:jc w:val="both"/>
        <w:rPr>
          <w:b/>
          <w:b/>
          <w:sz w:val="22"/>
          <w:szCs w:val="22"/>
        </w:rPr>
      </w:pPr>
      <w:r>
        <w:rPr>
          <w:b/>
          <w:sz w:val="22"/>
          <w:szCs w:val="22"/>
        </w:rPr>
      </w:r>
    </w:p>
    <w:p>
      <w:pPr>
        <w:pStyle w:val="Normal"/>
        <w:widowControl w:val="false"/>
        <w:numPr>
          <w:ilvl w:val="2"/>
          <w:numId w:val="7"/>
        </w:numPr>
        <w:tabs>
          <w:tab w:val="clear" w:pos="720"/>
          <w:tab w:val="left" w:pos="889" w:leader="none"/>
        </w:tabs>
        <w:suppressAutoHyphens w:val="true"/>
        <w:bidi w:val="0"/>
        <w:spacing w:before="0" w:after="0"/>
        <w:ind w:left="567" w:right="227" w:hanging="0"/>
        <w:jc w:val="both"/>
        <w:rPr/>
      </w:pPr>
      <w:r>
        <w:rPr>
          <w:color w:val="000000"/>
          <w:sz w:val="22"/>
          <w:szCs w:val="22"/>
        </w:rPr>
        <w:t>A Contratada deverá manter credenciamento de concessionárias das marcas que</w:t>
      </w:r>
      <w:r>
        <w:rPr>
          <w:b/>
          <w:color w:val="000000"/>
          <w:sz w:val="22"/>
          <w:szCs w:val="22"/>
        </w:rPr>
        <w:t xml:space="preserve"> </w:t>
      </w:r>
      <w:r>
        <w:rPr>
          <w:color w:val="000000"/>
          <w:sz w:val="22"/>
          <w:szCs w:val="22"/>
        </w:rPr>
        <w:t xml:space="preserve">compõem a frota da </w:t>
      </w:r>
      <w:r>
        <w:rPr>
          <w:color w:val="000000"/>
          <w:sz w:val="22"/>
          <w:szCs w:val="22"/>
          <w:shd w:fill="FFFFFF" w:val="clear"/>
        </w:rPr>
        <w:t>Contratante, conforme Anexo I/D,</w:t>
      </w:r>
      <w:r>
        <w:rPr>
          <w:color w:val="000000"/>
          <w:sz w:val="22"/>
          <w:szCs w:val="22"/>
        </w:rPr>
        <w:t xml:space="preserve"> obrigando-se a atender </w:t>
      </w:r>
      <w:bookmarkStart w:id="3" w:name="_Hlk80799900"/>
      <w:r>
        <w:rPr>
          <w:color w:val="000000"/>
          <w:sz w:val="22"/>
          <w:szCs w:val="22"/>
        </w:rPr>
        <w:t>por meio de rede nacional de postos de combustíveis e oficinas credenciados/conveniados</w:t>
      </w:r>
      <w:bookmarkEnd w:id="3"/>
      <w:r>
        <w:rPr>
          <w:color w:val="000000"/>
          <w:sz w:val="22"/>
          <w:szCs w:val="22"/>
        </w:rPr>
        <w:t>, objetivando manter a garantia de fábrica para a revisão dos(as) veículos,</w:t>
      </w:r>
      <w:r>
        <w:rPr>
          <w:b/>
          <w:color w:val="000000"/>
          <w:sz w:val="22"/>
          <w:szCs w:val="22"/>
        </w:rPr>
        <w:t xml:space="preserve"> </w:t>
      </w:r>
      <w:r>
        <w:rPr>
          <w:color w:val="000000"/>
          <w:sz w:val="22"/>
          <w:szCs w:val="22"/>
        </w:rPr>
        <w:t>tratores, motosserra e roçadeiras.</w:t>
      </w:r>
    </w:p>
    <w:p>
      <w:pPr>
        <w:pStyle w:val="Normal"/>
        <w:widowControl w:val="false"/>
        <w:tabs>
          <w:tab w:val="clear" w:pos="720"/>
          <w:tab w:val="left" w:pos="889" w:leader="none"/>
        </w:tabs>
        <w:ind w:left="1276" w:right="232"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134" w:right="227" w:hanging="0"/>
        <w:jc w:val="both"/>
        <w:rPr/>
      </w:pPr>
      <w:bookmarkStart w:id="4" w:name="_Hlk80800013"/>
      <w:r>
        <w:rPr>
          <w:color w:val="000000"/>
          <w:sz w:val="22"/>
          <w:szCs w:val="22"/>
        </w:rPr>
        <w:t xml:space="preserve">7.6.1.1 </w:t>
      </w:r>
      <w:bookmarkEnd w:id="4"/>
      <w:r>
        <w:rPr>
          <w:color w:val="000000"/>
          <w:sz w:val="22"/>
          <w:szCs w:val="22"/>
        </w:rPr>
        <w:t>Antes do início da execução do contrato a CONTRATADA deverá enviar lista com o nome e endereço de todos os postos e oficinas credenciados/conveniados com a empresa.</w:t>
      </w:r>
    </w:p>
    <w:p>
      <w:pPr>
        <w:pStyle w:val="Normal"/>
        <w:widowControl w:val="false"/>
        <w:tabs>
          <w:tab w:val="clear" w:pos="720"/>
          <w:tab w:val="left" w:pos="889" w:leader="none"/>
        </w:tabs>
        <w:ind w:left="1276" w:right="232" w:hanging="0"/>
        <w:jc w:val="both"/>
        <w:rPr>
          <w:color w:val="000000"/>
          <w:sz w:val="22"/>
          <w:szCs w:val="22"/>
        </w:rPr>
      </w:pPr>
      <w:r>
        <w:rPr>
          <w:color w:val="000000"/>
          <w:sz w:val="22"/>
          <w:szCs w:val="22"/>
        </w:rPr>
      </w:r>
    </w:p>
    <w:p>
      <w:pPr>
        <w:pStyle w:val="Normal"/>
        <w:widowControl w:val="false"/>
        <w:numPr>
          <w:ilvl w:val="2"/>
          <w:numId w:val="7"/>
        </w:numPr>
        <w:tabs>
          <w:tab w:val="clear" w:pos="720"/>
          <w:tab w:val="left" w:pos="889" w:leader="none"/>
        </w:tabs>
        <w:suppressAutoHyphens w:val="true"/>
        <w:bidi w:val="0"/>
        <w:spacing w:before="0" w:after="0"/>
        <w:ind w:left="567" w:right="227" w:hanging="0"/>
        <w:jc w:val="both"/>
        <w:rPr/>
      </w:pPr>
      <w:r>
        <w:rPr>
          <w:color w:val="000000"/>
          <w:sz w:val="22"/>
          <w:szCs w:val="22"/>
        </w:rPr>
        <w:t>A Contratada deverá manter credenciamento de empresas especializadas no fornecimento de materiais e serviços que atuem nos segmentos a seguir listados, por meio de rede nacional de postos de combustíveis e oficinas credenciados/conveniados:</w:t>
      </w:r>
    </w:p>
    <w:p>
      <w:pPr>
        <w:pStyle w:val="Normal"/>
        <w:ind w:left="720" w:hanging="0"/>
        <w:rPr>
          <w:color w:val="000000"/>
          <w:sz w:val="22"/>
          <w:szCs w:val="22"/>
        </w:rPr>
      </w:pPr>
      <w:r>
        <w:rPr>
          <w:color w:val="000000"/>
          <w:sz w:val="22"/>
          <w:szCs w:val="22"/>
        </w:rPr>
      </w:r>
    </w:p>
    <w:p>
      <w:pPr>
        <w:pStyle w:val="Normal"/>
        <w:widowControl w:val="false"/>
        <w:tabs>
          <w:tab w:val="clear" w:pos="720"/>
          <w:tab w:val="left" w:pos="1188" w:leader="none"/>
        </w:tabs>
        <w:ind w:left="1134" w:right="-143" w:hanging="0"/>
        <w:jc w:val="both"/>
        <w:rPr>
          <w:color w:val="000000"/>
          <w:sz w:val="22"/>
          <w:szCs w:val="22"/>
        </w:rPr>
      </w:pPr>
      <w:r>
        <w:rPr>
          <w:sz w:val="22"/>
          <w:szCs w:val="22"/>
        </w:rPr>
        <w:t xml:space="preserve">7.6.2.1 </w:t>
      </w:r>
      <w:r>
        <w:rPr>
          <w:color w:val="000000"/>
          <w:sz w:val="22"/>
          <w:szCs w:val="22"/>
        </w:rPr>
        <w:t>Elétrica, mecânica, funilaria, lanternagem, retificação e ajuste de motores e os demais serviços necessários para o pleno restabelecimento dos(as) veículos, tratores e máquinas da Contratante, inclusive serviços de certificação de cronotacógrafos e</w:t>
      </w:r>
      <w:r>
        <w:rPr>
          <w:sz w:val="22"/>
          <w:szCs w:val="22"/>
        </w:rPr>
        <w:t xml:space="preserve"> revisão de tacógrafos com previsão por exemplo, para quinze (15) de outubro e nove (09) de dezembro de 2022. </w:t>
      </w:r>
    </w:p>
    <w:p>
      <w:pPr>
        <w:pStyle w:val="Normal"/>
        <w:widowControl w:val="false"/>
        <w:tabs>
          <w:tab w:val="clear" w:pos="720"/>
          <w:tab w:val="left" w:pos="1188" w:leader="none"/>
        </w:tabs>
        <w:ind w:left="1134" w:right="-143" w:hanging="0"/>
        <w:jc w:val="both"/>
        <w:rPr>
          <w:color w:val="000000"/>
          <w:sz w:val="22"/>
          <w:szCs w:val="22"/>
        </w:rPr>
      </w:pPr>
      <w:r>
        <w:rPr>
          <w:color w:val="000000"/>
          <w:sz w:val="22"/>
          <w:szCs w:val="22"/>
        </w:rPr>
      </w:r>
    </w:p>
    <w:p>
      <w:pPr>
        <w:pStyle w:val="Normal"/>
        <w:widowControl w:val="false"/>
        <w:tabs>
          <w:tab w:val="clear" w:pos="720"/>
          <w:tab w:val="left" w:pos="1188" w:leader="none"/>
        </w:tabs>
        <w:ind w:left="1134" w:right="-143" w:hanging="0"/>
        <w:jc w:val="both"/>
        <w:rPr>
          <w:color w:val="000000"/>
          <w:sz w:val="22"/>
          <w:szCs w:val="22"/>
        </w:rPr>
      </w:pPr>
      <w:r>
        <w:rPr>
          <w:sz w:val="22"/>
          <w:szCs w:val="22"/>
        </w:rPr>
        <w:t xml:space="preserve">7.6.2.2 </w:t>
      </w:r>
      <w:r>
        <w:rPr>
          <w:color w:val="000000"/>
          <w:sz w:val="22"/>
          <w:szCs w:val="22"/>
        </w:rPr>
        <w:t>Cópia de chaves simples e codificadas, assim como na abertura de portas e fechaduras de veículos, tratores, motosserra e roçadeiras, cujos valores cobrados não poderão exceder pesquisa de mercado realizada pela Contratada e submetida à análise do fiscal da Contratante na data da necessidade do serviço ou da aquisição do material/peça.</w:t>
      </w:r>
    </w:p>
    <w:p>
      <w:pPr>
        <w:pStyle w:val="Normal"/>
        <w:widowControl w:val="false"/>
        <w:tabs>
          <w:tab w:val="clear" w:pos="720"/>
          <w:tab w:val="left" w:pos="1188" w:leader="none"/>
        </w:tabs>
        <w:ind w:left="1134" w:right="-143" w:hanging="0"/>
        <w:jc w:val="both"/>
        <w:rPr>
          <w:sz w:val="22"/>
          <w:szCs w:val="22"/>
        </w:rPr>
      </w:pPr>
      <w:r>
        <w:rPr>
          <w:sz w:val="22"/>
          <w:szCs w:val="22"/>
        </w:rPr>
      </w:r>
    </w:p>
    <w:p>
      <w:pPr>
        <w:pStyle w:val="Normal"/>
        <w:widowControl w:val="false"/>
        <w:tabs>
          <w:tab w:val="clear" w:pos="720"/>
          <w:tab w:val="left" w:pos="1188" w:leader="none"/>
        </w:tabs>
        <w:ind w:left="1134" w:right="-143" w:hanging="0"/>
        <w:jc w:val="both"/>
        <w:rPr>
          <w:color w:val="000000"/>
          <w:sz w:val="22"/>
          <w:szCs w:val="22"/>
        </w:rPr>
      </w:pPr>
      <w:r>
        <w:rPr>
          <w:sz w:val="22"/>
          <w:szCs w:val="22"/>
        </w:rPr>
        <w:t xml:space="preserve">7.6.2.3 </w:t>
      </w:r>
      <w:r>
        <w:rPr>
          <w:color w:val="000000"/>
          <w:sz w:val="22"/>
          <w:szCs w:val="22"/>
        </w:rPr>
        <w:t xml:space="preserve">Socorro mecânico, por intermédio de guinchos, plataformas, capazes de atender todas as marcas e modelos de </w:t>
      </w:r>
      <w:r>
        <w:rPr>
          <w:sz w:val="22"/>
          <w:szCs w:val="22"/>
        </w:rPr>
        <w:t>veículos</w:t>
      </w:r>
      <w:r>
        <w:rPr>
          <w:color w:val="000000"/>
          <w:sz w:val="22"/>
          <w:szCs w:val="22"/>
        </w:rPr>
        <w:t xml:space="preserve"> pertencentes à frota oficial, conforme descritos neste Termo de Referência, sendo que não serão aceitas cobranças de valores a título de pedágio, hora parada ou qualquer outro, em razão desses insumos estarem incluídos já no valor do quilômetro excedente. </w:t>
      </w:r>
    </w:p>
    <w:p>
      <w:pPr>
        <w:pStyle w:val="Normal"/>
        <w:widowControl w:val="false"/>
        <w:tabs>
          <w:tab w:val="clear" w:pos="720"/>
          <w:tab w:val="left" w:pos="889" w:leader="none"/>
        </w:tabs>
        <w:ind w:left="1134" w:right="-143" w:hanging="0"/>
        <w:jc w:val="both"/>
        <w:rPr>
          <w:sz w:val="22"/>
          <w:szCs w:val="22"/>
        </w:rPr>
      </w:pPr>
      <w:r>
        <w:rPr>
          <w:sz w:val="22"/>
          <w:szCs w:val="22"/>
        </w:rPr>
      </w:r>
    </w:p>
    <w:p>
      <w:pPr>
        <w:pStyle w:val="Normal"/>
        <w:widowControl w:val="false"/>
        <w:tabs>
          <w:tab w:val="clear" w:pos="720"/>
          <w:tab w:val="left" w:pos="889" w:leader="none"/>
        </w:tabs>
        <w:ind w:left="2151" w:right="-143" w:hanging="0"/>
        <w:jc w:val="both"/>
        <w:rPr>
          <w:sz w:val="22"/>
          <w:szCs w:val="22"/>
        </w:rPr>
      </w:pPr>
      <w:r>
        <w:rPr>
          <w:sz w:val="22"/>
          <w:szCs w:val="22"/>
        </w:rPr>
      </w:r>
    </w:p>
    <w:p>
      <w:pPr>
        <w:pStyle w:val="Normal"/>
        <w:widowControl w:val="false"/>
        <w:tabs>
          <w:tab w:val="clear" w:pos="720"/>
          <w:tab w:val="left" w:pos="1188" w:leader="none"/>
        </w:tabs>
        <w:suppressAutoHyphens w:val="true"/>
        <w:bidi w:val="0"/>
        <w:spacing w:before="0" w:after="0"/>
        <w:ind w:left="1134" w:right="-113" w:hanging="0"/>
        <w:jc w:val="both"/>
        <w:rPr/>
      </w:pPr>
      <w:r>
        <w:rPr>
          <w:color w:val="000000"/>
          <w:sz w:val="22"/>
          <w:szCs w:val="22"/>
        </w:rPr>
        <w:t>7.</w:t>
      </w:r>
      <w:r>
        <w:rPr>
          <w:sz w:val="22"/>
          <w:szCs w:val="22"/>
        </w:rPr>
        <w:t>6</w:t>
      </w:r>
      <w:r>
        <w:rPr>
          <w:color w:val="000000"/>
          <w:sz w:val="22"/>
          <w:szCs w:val="22"/>
        </w:rPr>
        <w:t xml:space="preserve">.2.4 Lavagem geral interna e externa, inclusive a seco, polimento cristalizado, lubrificação e afins, que compreende: </w:t>
      </w:r>
    </w:p>
    <w:p>
      <w:pPr>
        <w:pStyle w:val="Normal"/>
        <w:widowControl w:val="false"/>
        <w:tabs>
          <w:tab w:val="clear" w:pos="720"/>
          <w:tab w:val="left" w:pos="889" w:leader="none"/>
        </w:tabs>
        <w:ind w:left="851" w:right="-14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701" w:right="-113" w:hanging="0"/>
        <w:jc w:val="both"/>
        <w:rPr>
          <w:color w:val="000000"/>
          <w:sz w:val="22"/>
          <w:szCs w:val="22"/>
        </w:rPr>
      </w:pPr>
      <w:r>
        <w:rPr>
          <w:color w:val="000000"/>
          <w:sz w:val="22"/>
          <w:szCs w:val="22"/>
        </w:rPr>
        <w:t>7.</w:t>
      </w:r>
      <w:r>
        <w:rPr>
          <w:sz w:val="22"/>
          <w:szCs w:val="22"/>
        </w:rPr>
        <w:t>6</w:t>
      </w:r>
      <w:r>
        <w:rPr>
          <w:color w:val="000000"/>
          <w:sz w:val="22"/>
          <w:szCs w:val="22"/>
        </w:rPr>
        <w:t>.2.4.1 Lavagem simples é aquela que consiste na limpeza externa, incluindo carroceria, conjunto pneu/roda, caixa de rodas, limpeza interna com aspiração de bancos, carpetes, porta-malas, aspiração e limpeza do painel.</w:t>
      </w:r>
    </w:p>
    <w:p>
      <w:pPr>
        <w:pStyle w:val="Normal"/>
        <w:widowControl w:val="false"/>
        <w:tabs>
          <w:tab w:val="clear" w:pos="720"/>
          <w:tab w:val="left" w:pos="889" w:leader="none"/>
        </w:tabs>
        <w:suppressAutoHyphens w:val="true"/>
        <w:bidi w:val="0"/>
        <w:spacing w:before="0" w:after="0"/>
        <w:ind w:left="1701" w:right="-11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701" w:right="-113" w:hanging="0"/>
        <w:jc w:val="both"/>
        <w:rPr>
          <w:color w:val="000000"/>
          <w:sz w:val="22"/>
          <w:szCs w:val="22"/>
        </w:rPr>
      </w:pPr>
      <w:r>
        <w:rPr>
          <w:color w:val="000000"/>
          <w:sz w:val="22"/>
          <w:szCs w:val="22"/>
        </w:rPr>
        <w:t>7.</w:t>
      </w:r>
      <w:r>
        <w:rPr>
          <w:sz w:val="22"/>
          <w:szCs w:val="22"/>
        </w:rPr>
        <w:t>6</w:t>
      </w:r>
      <w:r>
        <w:rPr>
          <w:color w:val="000000"/>
          <w:sz w:val="22"/>
          <w:szCs w:val="22"/>
        </w:rPr>
        <w:t>.2.4.2 Polimento cristalizado consiste na lavagem completa dos tratores, motosserra e roçadeiras, acrescida de tratamento mecânico, por meio de máquina de polir e produtos, realizado por profissional competente, com vistas a restabelecer o brilho original e a eliminação de arranhões e imperfeições da pintura.</w:t>
      </w:r>
    </w:p>
    <w:p>
      <w:pPr>
        <w:pStyle w:val="Normal"/>
        <w:widowControl w:val="false"/>
        <w:tabs>
          <w:tab w:val="clear" w:pos="720"/>
          <w:tab w:val="left" w:pos="889" w:leader="none"/>
        </w:tabs>
        <w:suppressAutoHyphens w:val="true"/>
        <w:bidi w:val="0"/>
        <w:spacing w:before="0" w:after="0"/>
        <w:ind w:left="1701" w:right="-11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701" w:right="-113" w:hanging="0"/>
        <w:jc w:val="both"/>
        <w:rPr>
          <w:color w:val="000000"/>
          <w:sz w:val="22"/>
          <w:szCs w:val="22"/>
        </w:rPr>
      </w:pPr>
      <w:r>
        <w:rPr>
          <w:color w:val="000000"/>
          <w:sz w:val="22"/>
          <w:szCs w:val="22"/>
        </w:rPr>
        <w:t>7.</w:t>
      </w:r>
      <w:r>
        <w:rPr>
          <w:sz w:val="22"/>
          <w:szCs w:val="22"/>
        </w:rPr>
        <w:t>6</w:t>
      </w:r>
      <w:r>
        <w:rPr>
          <w:color w:val="000000"/>
          <w:sz w:val="22"/>
          <w:szCs w:val="22"/>
        </w:rPr>
        <w:t>.2.4.3 Os serviços, inclusive os de lavagem, que não apresentarem devido às suas peculiaridades, tabela de valores referenciais, necessitarão de especificação no orçamento, e deverão ter seus preços obtidos por meio de pesquisa realizada pela Contratada, sendo apresentada e submetida à análise do fiscal da Contratante, na data da necessidade do serviço ou da aquisição do material/peça.</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2268" w:right="-113" w:hanging="0"/>
        <w:jc w:val="both"/>
        <w:rPr/>
      </w:pPr>
      <w:r>
        <w:rPr>
          <w:color w:val="000000"/>
          <w:sz w:val="22"/>
          <w:szCs w:val="22"/>
        </w:rPr>
        <w:t>7.6.2.4.3.1 A contratante, através do fiscal do contrato, realizará pesquisa de preços utilizando os parâmetros estabelecidos na Instrução Normativa SEGES/ME nº 65 de 07 de julho de 2021 a fim de comparar os preços apresentados pela contratada.</w:t>
      </w:r>
    </w:p>
    <w:p>
      <w:pPr>
        <w:pStyle w:val="Normal"/>
        <w:widowControl w:val="false"/>
        <w:tabs>
          <w:tab w:val="clear" w:pos="720"/>
          <w:tab w:val="left" w:pos="889" w:leader="none"/>
        </w:tabs>
        <w:ind w:left="2394" w:right="-14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701" w:right="-113" w:hanging="0"/>
        <w:jc w:val="both"/>
        <w:rPr/>
      </w:pPr>
      <w:r>
        <w:rPr>
          <w:color w:val="000000"/>
          <w:sz w:val="22"/>
          <w:szCs w:val="22"/>
        </w:rPr>
        <w:t>7.</w:t>
      </w:r>
      <w:r>
        <w:rPr>
          <w:sz w:val="22"/>
          <w:szCs w:val="22"/>
        </w:rPr>
        <w:t>6</w:t>
      </w:r>
      <w:r>
        <w:rPr>
          <w:color w:val="000000"/>
          <w:sz w:val="22"/>
          <w:szCs w:val="22"/>
        </w:rPr>
        <w:t>.2.4.4 Sobre os preços dos serviços/peças referenciados no subitem anterior incidirá o desconto ofertado pela licitante.</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757" w:right="-113" w:hanging="0"/>
        <w:jc w:val="both"/>
        <w:rPr>
          <w:color w:val="000000"/>
          <w:sz w:val="22"/>
          <w:szCs w:val="22"/>
        </w:rPr>
      </w:pPr>
      <w:r>
        <w:rPr>
          <w:color w:val="000000"/>
          <w:sz w:val="22"/>
          <w:szCs w:val="22"/>
        </w:rPr>
        <w:t>7.</w:t>
      </w:r>
      <w:r>
        <w:rPr>
          <w:sz w:val="22"/>
          <w:szCs w:val="22"/>
        </w:rPr>
        <w:t>6</w:t>
      </w:r>
      <w:r>
        <w:rPr>
          <w:color w:val="000000"/>
          <w:sz w:val="22"/>
          <w:szCs w:val="22"/>
        </w:rPr>
        <w:t>.2.4.5 Peças e serviços referentes a tapeçaria/capotaria automotiva.</w:t>
      </w:r>
    </w:p>
    <w:p>
      <w:pPr>
        <w:pStyle w:val="Normal"/>
        <w:widowControl w:val="false"/>
        <w:tabs>
          <w:tab w:val="clear" w:pos="720"/>
          <w:tab w:val="left" w:pos="889" w:leader="none"/>
        </w:tabs>
        <w:suppressAutoHyphens w:val="true"/>
        <w:bidi w:val="0"/>
        <w:spacing w:before="0" w:after="0"/>
        <w:ind w:left="1757" w:right="-11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757" w:right="-113" w:hanging="0"/>
        <w:jc w:val="both"/>
        <w:rPr>
          <w:color w:val="000000"/>
          <w:sz w:val="22"/>
          <w:szCs w:val="22"/>
        </w:rPr>
      </w:pPr>
      <w:r>
        <w:rPr>
          <w:color w:val="000000"/>
          <w:sz w:val="22"/>
          <w:szCs w:val="22"/>
        </w:rPr>
        <w:t>7.</w:t>
      </w:r>
      <w:r>
        <w:rPr>
          <w:sz w:val="22"/>
          <w:szCs w:val="22"/>
        </w:rPr>
        <w:t>6</w:t>
      </w:r>
      <w:r>
        <w:rPr>
          <w:color w:val="000000"/>
          <w:sz w:val="22"/>
          <w:szCs w:val="22"/>
        </w:rPr>
        <w:t>.2.4.6 Borracharia automotiva, com fornecimento de materiais relativos ao serviço, como pneus, válvulas e câmaras de ar, além de desempeno e recuperação de rodas de ferro ou de liga leve.</w:t>
      </w:r>
    </w:p>
    <w:p>
      <w:pPr>
        <w:pStyle w:val="Normal"/>
        <w:widowControl w:val="false"/>
        <w:tabs>
          <w:tab w:val="clear" w:pos="720"/>
          <w:tab w:val="left" w:pos="889" w:leader="none"/>
        </w:tabs>
        <w:suppressAutoHyphens w:val="true"/>
        <w:bidi w:val="0"/>
        <w:spacing w:before="0" w:after="0"/>
        <w:ind w:left="1757" w:right="-113" w:hanging="0"/>
        <w:jc w:val="both"/>
        <w:rPr>
          <w:color w:val="000000"/>
          <w:sz w:val="22"/>
          <w:szCs w:val="22"/>
        </w:rPr>
      </w:pPr>
      <w:r>
        <w:rPr>
          <w:color w:val="000000"/>
          <w:sz w:val="22"/>
          <w:szCs w:val="22"/>
        </w:rPr>
      </w:r>
    </w:p>
    <w:p>
      <w:pPr>
        <w:pStyle w:val="Normal"/>
        <w:widowControl w:val="false"/>
        <w:tabs>
          <w:tab w:val="clear" w:pos="720"/>
          <w:tab w:val="left" w:pos="889" w:leader="none"/>
        </w:tabs>
        <w:suppressAutoHyphens w:val="true"/>
        <w:bidi w:val="0"/>
        <w:spacing w:before="0" w:after="0"/>
        <w:ind w:left="1757" w:right="-113" w:hanging="0"/>
        <w:jc w:val="both"/>
        <w:rPr>
          <w:color w:val="000000"/>
          <w:sz w:val="22"/>
          <w:szCs w:val="22"/>
        </w:rPr>
      </w:pPr>
      <w:r>
        <w:rPr>
          <w:color w:val="000000"/>
          <w:sz w:val="22"/>
          <w:szCs w:val="22"/>
        </w:rPr>
        <w:t>7.</w:t>
      </w:r>
      <w:r>
        <w:rPr>
          <w:sz w:val="22"/>
          <w:szCs w:val="22"/>
        </w:rPr>
        <w:t>6</w:t>
      </w:r>
      <w:r>
        <w:rPr>
          <w:color w:val="000000"/>
          <w:sz w:val="22"/>
          <w:szCs w:val="22"/>
        </w:rPr>
        <w:t>.2.4.7 Alinhamento ou geometria e balanceamento, tanto simples como computadorizado, cambagem e cárter, com o fornecimento dos materiais relativos ao serviço, como pneus, válvulas de pressão e câmaras de ar.</w:t>
      </w:r>
    </w:p>
    <w:p>
      <w:pPr>
        <w:pStyle w:val="Normal"/>
        <w:widowControl w:val="false"/>
        <w:tabs>
          <w:tab w:val="clear" w:pos="720"/>
          <w:tab w:val="left" w:pos="889" w:leader="none"/>
        </w:tabs>
        <w:ind w:left="2394" w:right="232" w:hanging="0"/>
        <w:jc w:val="both"/>
        <w:rPr>
          <w:color w:val="000000"/>
          <w:sz w:val="22"/>
          <w:szCs w:val="22"/>
        </w:rPr>
      </w:pPr>
      <w:r>
        <w:rPr>
          <w:color w:val="000000"/>
          <w:sz w:val="22"/>
          <w:szCs w:val="22"/>
        </w:rPr>
      </w:r>
    </w:p>
    <w:p>
      <w:pPr>
        <w:pStyle w:val="Normal"/>
        <w:widowControl w:val="false"/>
        <w:tabs>
          <w:tab w:val="clear" w:pos="720"/>
          <w:tab w:val="left" w:pos="889" w:leader="none"/>
        </w:tabs>
        <w:ind w:left="567" w:hanging="0"/>
        <w:jc w:val="both"/>
        <w:rPr>
          <w:sz w:val="22"/>
          <w:szCs w:val="22"/>
        </w:rPr>
      </w:pPr>
      <w:r>
        <w:rPr>
          <w:sz w:val="22"/>
          <w:szCs w:val="22"/>
        </w:rPr>
        <w:t>7.6.3 Não sendo possível atender as necessidades da Contratante quanto aos itens 7.6.1 e 7.6.2, a Contratada deverá apresentar justificativa formal escrita para o fiscal do contrato no prazo máximo de 05 dias a contar da data que for notificada da carência de credenciadas. O fiscal analisará os motivos expostos e uma vez comprovada a real dificuldade de credenciamento, acatará ou não a justificativa. Ainda, em conjunto com o representante da empresa, apontará para a melhor solução.</w:t>
      </w:r>
    </w:p>
    <w:p>
      <w:pPr>
        <w:pStyle w:val="Normal"/>
        <w:ind w:left="567" w:hanging="0"/>
        <w:rPr>
          <w:sz w:val="22"/>
          <w:szCs w:val="22"/>
        </w:rPr>
      </w:pPr>
      <w:r>
        <w:rPr>
          <w:sz w:val="22"/>
          <w:szCs w:val="22"/>
        </w:rPr>
      </w:r>
    </w:p>
    <w:p>
      <w:pPr>
        <w:pStyle w:val="Normal"/>
        <w:widowControl/>
        <w:suppressAutoHyphens w:val="true"/>
        <w:bidi w:val="0"/>
        <w:spacing w:before="0" w:after="120"/>
        <w:ind w:left="1134" w:right="0" w:hanging="0"/>
        <w:jc w:val="both"/>
        <w:rPr/>
      </w:pPr>
      <w:r>
        <w:rPr>
          <w:sz w:val="22"/>
          <w:szCs w:val="22"/>
        </w:rPr>
        <w:t xml:space="preserve">7.6.3.1 Na ocorrência do descrito no item acima, a Contratada deverá providenciar o reparo/revisão de garantia na localidade mais próxima da unidade de lotação dos(as) veículos, tratores, máquinas agrícolas e implementos, geradores, roçadeiras, cortadores e maquinários, sendo que esse deslocamento será realizado em caminhão plataforma e às suas expensas, de forma mais célere possível, sendo utilizado o tempo estritamente necessário para que ocorra o deslocamento (ida e volta) e rep aro/revisão de garantia. </w:t>
      </w:r>
    </w:p>
    <w:p>
      <w:pPr>
        <w:pStyle w:val="Normal"/>
        <w:spacing w:before="0" w:after="120"/>
        <w:ind w:left="1200" w:hanging="0"/>
        <w:jc w:val="both"/>
        <w:rPr>
          <w:sz w:val="22"/>
          <w:szCs w:val="22"/>
          <w:highlight w:val="magenta"/>
        </w:rPr>
      </w:pPr>
      <w:r>
        <w:rPr>
          <w:sz w:val="22"/>
          <w:szCs w:val="22"/>
          <w:highlight w:val="magenta"/>
        </w:rPr>
      </w:r>
    </w:p>
    <w:p>
      <w:pPr>
        <w:pStyle w:val="Normal"/>
        <w:widowControl/>
        <w:numPr>
          <w:ilvl w:val="1"/>
          <w:numId w:val="7"/>
        </w:numPr>
        <w:suppressAutoHyphens w:val="true"/>
        <w:bidi w:val="0"/>
        <w:spacing w:before="0" w:after="0"/>
        <w:ind w:left="0" w:right="0" w:hanging="0"/>
        <w:jc w:val="both"/>
        <w:rPr/>
      </w:pPr>
      <w:r>
        <w:rPr>
          <w:b/>
          <w:color w:val="000000"/>
          <w:sz w:val="22"/>
          <w:szCs w:val="22"/>
        </w:rPr>
        <w:t>DA GARANTIA DAS PEÇAS, MATERIAIS E DOS SERVIÇOS</w:t>
      </w:r>
    </w:p>
    <w:p>
      <w:pPr>
        <w:pStyle w:val="Normal"/>
        <w:spacing w:lineRule="auto" w:line="276"/>
        <w:ind w:left="1560" w:right="142" w:hanging="0"/>
        <w:jc w:val="both"/>
        <w:rPr>
          <w:color w:val="000000"/>
          <w:sz w:val="22"/>
          <w:szCs w:val="22"/>
        </w:rPr>
      </w:pPr>
      <w:r>
        <w:rPr>
          <w:color w:val="000000"/>
          <w:sz w:val="22"/>
          <w:szCs w:val="22"/>
        </w:rPr>
      </w:r>
    </w:p>
    <w:p>
      <w:pPr>
        <w:pStyle w:val="Normal"/>
        <w:widowControl/>
        <w:numPr>
          <w:ilvl w:val="2"/>
          <w:numId w:val="7"/>
        </w:numPr>
        <w:tabs>
          <w:tab w:val="clear" w:pos="720"/>
          <w:tab w:val="left" w:pos="513" w:leader="none"/>
        </w:tabs>
        <w:suppressAutoHyphens w:val="true"/>
        <w:bidi w:val="0"/>
        <w:spacing w:lineRule="auto" w:line="276" w:before="0" w:after="0"/>
        <w:ind w:left="567" w:right="170" w:hanging="0"/>
        <w:jc w:val="both"/>
        <w:rPr/>
      </w:pPr>
      <w:r>
        <w:rPr>
          <w:color w:val="000000"/>
          <w:sz w:val="22"/>
          <w:szCs w:val="22"/>
        </w:rPr>
        <w:t>A Contratada, por meio do estabelecimento que executou o serviço/forneceu peças, deve conceder garantia dos serviços/peças, na forma a seguir:</w:t>
      </w:r>
    </w:p>
    <w:p>
      <w:pPr>
        <w:pStyle w:val="Normal"/>
        <w:spacing w:lineRule="auto" w:line="276"/>
        <w:ind w:left="1560" w:right="142" w:hanging="0"/>
        <w:jc w:val="both"/>
        <w:rPr>
          <w:color w:val="000000"/>
          <w:sz w:val="22"/>
          <w:szCs w:val="22"/>
          <w:highlight w:val="magenta"/>
        </w:rPr>
      </w:pPr>
      <w:r>
        <w:rPr>
          <w:color w:val="000000"/>
          <w:sz w:val="22"/>
          <w:szCs w:val="22"/>
          <w:highlight w:val="magenta"/>
        </w:rPr>
      </w:r>
    </w:p>
    <w:p>
      <w:pPr>
        <w:pStyle w:val="Normal"/>
        <w:widowControl/>
        <w:suppressAutoHyphens w:val="true"/>
        <w:bidi w:val="0"/>
        <w:spacing w:lineRule="auto" w:line="276" w:before="0" w:after="0"/>
        <w:ind w:left="1134" w:right="170" w:hanging="0"/>
        <w:jc w:val="both"/>
        <w:rPr>
          <w:color w:val="000000"/>
          <w:sz w:val="22"/>
          <w:szCs w:val="22"/>
        </w:rPr>
      </w:pPr>
      <w:r>
        <w:rPr>
          <w:sz w:val="22"/>
          <w:szCs w:val="22"/>
        </w:rPr>
        <w:t xml:space="preserve">7.7.1.1 </w:t>
      </w:r>
      <w:r>
        <w:rPr>
          <w:color w:val="000000"/>
          <w:sz w:val="22"/>
          <w:szCs w:val="22"/>
        </w:rPr>
        <w:t>Todos os serviços de manutenção preventiva e corretiva devem apresentar garantia mínima de 03 (três) meses, contados da efetiva prestação dos serviços.</w:t>
      </w:r>
    </w:p>
    <w:p>
      <w:pPr>
        <w:pStyle w:val="Normal"/>
        <w:widowControl/>
        <w:suppressAutoHyphens w:val="true"/>
        <w:bidi w:val="0"/>
        <w:spacing w:lineRule="auto" w:line="276" w:before="0" w:after="0"/>
        <w:ind w:left="1134" w:right="170" w:hanging="0"/>
        <w:jc w:val="both"/>
        <w:rPr>
          <w:sz w:val="22"/>
          <w:szCs w:val="22"/>
        </w:rPr>
      </w:pPr>
      <w:r>
        <w:rPr>
          <w:sz w:val="22"/>
          <w:szCs w:val="22"/>
        </w:rPr>
      </w:r>
    </w:p>
    <w:p>
      <w:pPr>
        <w:pStyle w:val="Normal"/>
        <w:widowControl/>
        <w:suppressAutoHyphens w:val="true"/>
        <w:bidi w:val="0"/>
        <w:spacing w:lineRule="auto" w:line="276" w:before="0" w:after="0"/>
        <w:ind w:left="1134" w:right="170" w:hanging="0"/>
        <w:jc w:val="both"/>
        <w:rPr>
          <w:color w:val="000000"/>
          <w:sz w:val="22"/>
          <w:szCs w:val="22"/>
        </w:rPr>
      </w:pPr>
      <w:r>
        <w:rPr>
          <w:sz w:val="22"/>
          <w:szCs w:val="22"/>
        </w:rPr>
        <w:t xml:space="preserve">7.7.1.2 </w:t>
      </w:r>
      <w:r>
        <w:rPr>
          <w:color w:val="000000"/>
          <w:sz w:val="22"/>
          <w:szCs w:val="22"/>
        </w:rPr>
        <w:t>Para os serviços de balanceamento de rodas, alinhamento e geometria, de 03 (três) meses ou 5000 (cinco mil) quilômetros, sendo que, neste caso, a garantia se estenderá ao que terminar por último.</w:t>
      </w:r>
    </w:p>
    <w:p>
      <w:pPr>
        <w:pStyle w:val="Normal"/>
        <w:widowControl/>
        <w:suppressAutoHyphens w:val="true"/>
        <w:bidi w:val="0"/>
        <w:spacing w:lineRule="auto" w:line="276" w:before="0" w:after="0"/>
        <w:ind w:left="1134" w:right="170" w:hanging="0"/>
        <w:jc w:val="both"/>
        <w:rPr>
          <w:sz w:val="22"/>
          <w:szCs w:val="22"/>
        </w:rPr>
      </w:pPr>
      <w:r>
        <w:rPr>
          <w:sz w:val="22"/>
          <w:szCs w:val="22"/>
        </w:rPr>
      </w:r>
    </w:p>
    <w:p>
      <w:pPr>
        <w:pStyle w:val="Normal"/>
        <w:widowControl/>
        <w:suppressAutoHyphens w:val="true"/>
        <w:bidi w:val="0"/>
        <w:spacing w:lineRule="auto" w:line="276" w:before="0" w:after="0"/>
        <w:ind w:left="1134" w:right="170" w:hanging="0"/>
        <w:jc w:val="both"/>
        <w:rPr>
          <w:color w:val="000000"/>
          <w:sz w:val="22"/>
          <w:szCs w:val="22"/>
        </w:rPr>
      </w:pPr>
      <w:r>
        <w:rPr>
          <w:sz w:val="22"/>
          <w:szCs w:val="22"/>
        </w:rPr>
        <w:t>7.7.1.3</w:t>
      </w:r>
      <w:r>
        <w:rPr>
          <w:color w:val="000000"/>
          <w:sz w:val="22"/>
          <w:szCs w:val="22"/>
        </w:rPr>
        <w:t xml:space="preserve"> Para os serviços de lanternagem e pintura, contado da efetiva prestação dos serviços, não poderá ser inferior a 06 (seis) meses.</w:t>
      </w:r>
    </w:p>
    <w:p>
      <w:pPr>
        <w:pStyle w:val="Normal"/>
        <w:spacing w:lineRule="auto" w:line="276"/>
        <w:ind w:left="993" w:right="142" w:hanging="0"/>
        <w:jc w:val="both"/>
        <w:rPr>
          <w:sz w:val="22"/>
          <w:szCs w:val="22"/>
        </w:rPr>
      </w:pPr>
      <w:r>
        <w:rPr>
          <w:sz w:val="22"/>
          <w:szCs w:val="22"/>
        </w:rPr>
      </w:r>
    </w:p>
    <w:p>
      <w:pPr>
        <w:pStyle w:val="Normal"/>
        <w:widowControl/>
        <w:suppressAutoHyphens w:val="true"/>
        <w:bidi w:val="0"/>
        <w:spacing w:lineRule="auto" w:line="276" w:before="0" w:after="0"/>
        <w:ind w:left="1134" w:right="170" w:hanging="0"/>
        <w:jc w:val="both"/>
        <w:rPr>
          <w:color w:val="000000"/>
          <w:sz w:val="22"/>
          <w:szCs w:val="22"/>
        </w:rPr>
      </w:pPr>
      <w:r>
        <w:rPr>
          <w:sz w:val="22"/>
          <w:szCs w:val="22"/>
        </w:rPr>
        <w:t xml:space="preserve">7.7.1.4 </w:t>
      </w:r>
      <w:r>
        <w:rPr>
          <w:color w:val="000000"/>
          <w:sz w:val="22"/>
          <w:szCs w:val="22"/>
        </w:rPr>
        <w:t>Para as peças, componentes e acessórios, contados a partir da data da efetiva instalação nos veículos, tratores e máquinas, não poderá ser inferior a 03(três) meses e/ou horas trabalhadas em caso de máquinas e equipamentos.</w:t>
      </w:r>
    </w:p>
    <w:p>
      <w:pPr>
        <w:pStyle w:val="Normal"/>
        <w:widowControl/>
        <w:suppressAutoHyphens w:val="true"/>
        <w:bidi w:val="0"/>
        <w:spacing w:lineRule="auto" w:line="276" w:before="0" w:after="0"/>
        <w:ind w:left="1134" w:right="170" w:hanging="0"/>
        <w:jc w:val="both"/>
        <w:rPr>
          <w:sz w:val="22"/>
          <w:szCs w:val="22"/>
        </w:rPr>
      </w:pPr>
      <w:r>
        <w:rPr>
          <w:sz w:val="22"/>
          <w:szCs w:val="22"/>
        </w:rPr>
      </w:r>
    </w:p>
    <w:p>
      <w:pPr>
        <w:pStyle w:val="Normal"/>
        <w:widowControl/>
        <w:suppressAutoHyphens w:val="true"/>
        <w:bidi w:val="0"/>
        <w:spacing w:lineRule="auto" w:line="276" w:before="0" w:after="0"/>
        <w:ind w:left="1134" w:right="170" w:hanging="0"/>
        <w:jc w:val="both"/>
        <w:rPr>
          <w:color w:val="000000"/>
          <w:sz w:val="22"/>
          <w:szCs w:val="22"/>
        </w:rPr>
      </w:pPr>
      <w:r>
        <w:rPr>
          <w:sz w:val="22"/>
          <w:szCs w:val="22"/>
        </w:rPr>
        <w:t xml:space="preserve">7.7.1.5 </w:t>
      </w:r>
      <w:r>
        <w:rPr>
          <w:color w:val="000000"/>
          <w:sz w:val="22"/>
          <w:szCs w:val="22"/>
        </w:rPr>
        <w:t>Serviços e peças utilizados em serviços de retífica de bloco e/ou cabeçote de motor e seus componentes, caixa de câmbio, diferencial, motor de partida, bomba injetora, turbinas, bomba da direção hidráulica, compressor de ar-condicionado, contados da data da efetiva prestação do serviço, 06 (seis) meses ou 15.000 (quinze mil) quilômetros e/ou horas trabalhadas em caso de máquinas e equipamentos,, sendo que a garantia se estenderá ao que terminar por último, sendo que a garantia se estenderá ao que terminar por último, quando o fabricante da peça não oferecer prazo maior de garantia, devendo, em caso de prazo de garantia superior, prevalecer a garantia oferecida pelo fabricante.</w:t>
      </w:r>
    </w:p>
    <w:p>
      <w:pPr>
        <w:pStyle w:val="Normal"/>
        <w:widowControl/>
        <w:suppressAutoHyphens w:val="true"/>
        <w:bidi w:val="0"/>
        <w:spacing w:lineRule="auto" w:line="276" w:before="0" w:after="0"/>
        <w:ind w:left="1134" w:right="170" w:hanging="0"/>
        <w:jc w:val="both"/>
        <w:rPr>
          <w:sz w:val="22"/>
          <w:szCs w:val="22"/>
        </w:rPr>
      </w:pPr>
      <w:r>
        <w:rPr>
          <w:sz w:val="22"/>
          <w:szCs w:val="22"/>
        </w:rPr>
      </w:r>
    </w:p>
    <w:p>
      <w:pPr>
        <w:pStyle w:val="Normal"/>
        <w:widowControl/>
        <w:suppressAutoHyphens w:val="true"/>
        <w:bidi w:val="0"/>
        <w:spacing w:lineRule="auto" w:line="276" w:before="0" w:after="0"/>
        <w:ind w:left="1134" w:right="170" w:hanging="0"/>
        <w:jc w:val="both"/>
        <w:rPr>
          <w:color w:val="000000"/>
          <w:sz w:val="22"/>
          <w:szCs w:val="22"/>
        </w:rPr>
      </w:pPr>
      <w:r>
        <w:rPr>
          <w:sz w:val="22"/>
          <w:szCs w:val="22"/>
        </w:rPr>
        <w:t>7.7.1.6</w:t>
      </w:r>
      <w:r>
        <w:rPr>
          <w:color w:val="000000"/>
          <w:sz w:val="22"/>
          <w:szCs w:val="22"/>
        </w:rPr>
        <w:t xml:space="preserve"> Para os serviços em câmbio e suspensão, contados a partir da data da efetiva prestação dos serviços, não poderá ser inferior a 06 (seis) meses ou 15.000 km, e/ou horas trabalhadas em caso de máquinas e equipamentos, o que ocorrer por último.</w:t>
      </w:r>
    </w:p>
    <w:p>
      <w:pPr>
        <w:pStyle w:val="Normal"/>
        <w:widowControl/>
        <w:suppressAutoHyphens w:val="true"/>
        <w:bidi w:val="0"/>
        <w:spacing w:lineRule="auto" w:line="276" w:before="0" w:after="0"/>
        <w:ind w:left="1134" w:right="170" w:hanging="0"/>
        <w:jc w:val="both"/>
        <w:rPr>
          <w:sz w:val="22"/>
          <w:szCs w:val="22"/>
        </w:rPr>
      </w:pPr>
      <w:r>
        <w:rPr>
          <w:sz w:val="22"/>
          <w:szCs w:val="22"/>
        </w:rPr>
      </w:r>
    </w:p>
    <w:p>
      <w:pPr>
        <w:pStyle w:val="Normal"/>
        <w:widowControl/>
        <w:suppressAutoHyphens w:val="true"/>
        <w:bidi w:val="0"/>
        <w:spacing w:lineRule="auto" w:line="276" w:before="0" w:after="0"/>
        <w:ind w:left="1134" w:right="170" w:hanging="0"/>
        <w:jc w:val="both"/>
        <w:rPr>
          <w:color w:val="000000"/>
          <w:sz w:val="22"/>
          <w:szCs w:val="22"/>
        </w:rPr>
      </w:pPr>
      <w:r>
        <w:rPr>
          <w:sz w:val="22"/>
          <w:szCs w:val="22"/>
        </w:rPr>
        <w:t xml:space="preserve">7.7.1.7 </w:t>
      </w:r>
      <w:r>
        <w:rPr>
          <w:color w:val="000000"/>
          <w:sz w:val="22"/>
          <w:szCs w:val="22"/>
        </w:rPr>
        <w:t>Demais serviços e peças: 03 (três) meses ou 5.000 (cinco mil) quilômetros e/ ou horas trabalhadas em caso de máquinas e equipamentos, sendo que a garantia se estenderá ao que terminar por último, quando o fabricante da peça não oferecer prazo maior de garantia, devendo, em caso de prazo de garantia superior, prevalecer a garantia oferecida pelo fabricante.</w:t>
      </w:r>
    </w:p>
    <w:p>
      <w:pPr>
        <w:pStyle w:val="Normal"/>
        <w:spacing w:lineRule="auto" w:line="276"/>
        <w:ind w:left="2151" w:right="142" w:hanging="0"/>
        <w:jc w:val="both"/>
        <w:rPr>
          <w:sz w:val="22"/>
          <w:szCs w:val="22"/>
        </w:rPr>
      </w:pPr>
      <w:r>
        <w:rPr>
          <w:sz w:val="22"/>
          <w:szCs w:val="22"/>
        </w:rPr>
      </w:r>
    </w:p>
    <w:p>
      <w:pPr>
        <w:pStyle w:val="Normal"/>
        <w:widowControl/>
        <w:numPr>
          <w:ilvl w:val="2"/>
          <w:numId w:val="7"/>
        </w:numPr>
        <w:suppressAutoHyphens w:val="true"/>
        <w:bidi w:val="0"/>
        <w:spacing w:before="0" w:after="0"/>
        <w:ind w:left="567" w:right="-454" w:hanging="0"/>
        <w:jc w:val="both"/>
        <w:rPr/>
      </w:pPr>
      <w:r>
        <w:rPr>
          <w:color w:val="000000"/>
          <w:sz w:val="22"/>
          <w:szCs w:val="22"/>
        </w:rPr>
        <w:t>A garantia das peças e serviços deverá ser cumprida, mesmo após o término ou rescisão do contrato.</w:t>
      </w:r>
    </w:p>
    <w:p>
      <w:pPr>
        <w:pStyle w:val="Normal"/>
        <w:ind w:left="1674" w:right="-427" w:hanging="0"/>
        <w:jc w:val="both"/>
        <w:rPr>
          <w:color w:val="000000"/>
          <w:sz w:val="22"/>
          <w:szCs w:val="22"/>
        </w:rPr>
      </w:pPr>
      <w:r>
        <w:rPr>
          <w:color w:val="000000"/>
          <w:sz w:val="22"/>
          <w:szCs w:val="22"/>
        </w:rPr>
      </w:r>
    </w:p>
    <w:p>
      <w:pPr>
        <w:pStyle w:val="Normal"/>
        <w:widowControl/>
        <w:numPr>
          <w:ilvl w:val="1"/>
          <w:numId w:val="7"/>
        </w:numPr>
        <w:suppressAutoHyphens w:val="true"/>
        <w:bidi w:val="0"/>
        <w:spacing w:before="0" w:after="0"/>
        <w:ind w:left="0" w:right="-454" w:hanging="0"/>
        <w:jc w:val="both"/>
        <w:rPr/>
      </w:pPr>
      <w:r>
        <w:rPr>
          <w:b/>
          <w:color w:val="000000"/>
          <w:sz w:val="22"/>
          <w:szCs w:val="22"/>
        </w:rPr>
        <w:t>DA EXECUÇÃO DOS SERVIÇOS</w:t>
      </w:r>
    </w:p>
    <w:p>
      <w:pPr>
        <w:pStyle w:val="Normal"/>
        <w:ind w:left="1077" w:right="-427" w:hanging="0"/>
        <w:jc w:val="both"/>
        <w:rPr>
          <w:b/>
          <w:b/>
          <w:color w:val="000000"/>
          <w:sz w:val="22"/>
          <w:szCs w:val="22"/>
        </w:rPr>
      </w:pPr>
      <w:r>
        <w:rPr>
          <w:b/>
          <w:color w:val="000000"/>
          <w:sz w:val="22"/>
          <w:szCs w:val="22"/>
        </w:rPr>
      </w:r>
    </w:p>
    <w:p>
      <w:pPr>
        <w:pStyle w:val="Normal"/>
        <w:widowControl/>
        <w:numPr>
          <w:ilvl w:val="2"/>
          <w:numId w:val="7"/>
        </w:numPr>
        <w:suppressAutoHyphens w:val="true"/>
        <w:bidi w:val="0"/>
        <w:spacing w:before="0" w:after="0"/>
        <w:ind w:left="567" w:right="-454" w:hanging="0"/>
        <w:jc w:val="both"/>
        <w:rPr/>
      </w:pPr>
      <w:r>
        <w:rPr>
          <w:color w:val="000000"/>
          <w:sz w:val="22"/>
          <w:szCs w:val="22"/>
        </w:rPr>
        <w:t>A cada necessidade de serviço, o fiscal responsável efetuará a abertura de chamado (orçamento) em estabelecimento credenciado pela Contratada, sendo que o credenciado deverá apresentar orçamento, de forma detalhada, abrangendo código, nome/descrição, marca e quantidade de peças, número de horas e descrição dos serviços a serem executados, tempo padrão para realização do serviço, bem como a quantidade de quilômetros necessários para o transporte do veículo (quando utilizado serviço de guincho), incluindo a garantia das peças e serviços.</w:t>
      </w:r>
    </w:p>
    <w:p>
      <w:pPr>
        <w:pStyle w:val="Normal"/>
        <w:ind w:left="1674" w:right="-427" w:hanging="0"/>
        <w:jc w:val="both"/>
        <w:rPr>
          <w:sz w:val="22"/>
          <w:szCs w:val="22"/>
        </w:rPr>
      </w:pPr>
      <w:r>
        <w:rPr>
          <w:sz w:val="22"/>
          <w:szCs w:val="22"/>
        </w:rPr>
      </w:r>
    </w:p>
    <w:p>
      <w:pPr>
        <w:pStyle w:val="Normal"/>
        <w:widowControl/>
        <w:numPr>
          <w:ilvl w:val="2"/>
          <w:numId w:val="7"/>
        </w:numPr>
        <w:suppressAutoHyphens w:val="true"/>
        <w:bidi w:val="0"/>
        <w:spacing w:before="0" w:after="0"/>
        <w:ind w:left="567" w:right="-454" w:hanging="0"/>
        <w:jc w:val="both"/>
        <w:rPr/>
      </w:pPr>
      <w:r>
        <w:rPr>
          <w:color w:val="000000"/>
          <w:sz w:val="22"/>
          <w:szCs w:val="22"/>
        </w:rPr>
        <w:t>O procedimento para reparo de veículos, tratores e máquinas, seguirá a seguinte sistemática, que configura o gerenciamento de manutenção de frota:</w:t>
      </w:r>
    </w:p>
    <w:p>
      <w:pPr>
        <w:pStyle w:val="Normal"/>
        <w:ind w:left="2151" w:hanging="0"/>
        <w:jc w:val="both"/>
        <w:rPr>
          <w:sz w:val="22"/>
          <w:szCs w:val="22"/>
        </w:rPr>
      </w:pPr>
      <w:r>
        <w:rPr>
          <w:sz w:val="22"/>
          <w:szCs w:val="22"/>
        </w:rPr>
      </w:r>
    </w:p>
    <w:p>
      <w:pPr>
        <w:pStyle w:val="Normal"/>
        <w:widowControl/>
        <w:suppressAutoHyphens w:val="true"/>
        <w:bidi w:val="0"/>
        <w:spacing w:before="0" w:after="0"/>
        <w:ind w:left="1191" w:right="0" w:hanging="0"/>
        <w:jc w:val="both"/>
        <w:rPr/>
      </w:pPr>
      <w:r>
        <w:rPr>
          <w:sz w:val="22"/>
          <w:szCs w:val="22"/>
        </w:rPr>
        <w:t xml:space="preserve">7.8.2.1 </w:t>
      </w:r>
      <w:r>
        <w:rPr>
          <w:color w:val="000000"/>
          <w:sz w:val="22"/>
          <w:szCs w:val="22"/>
        </w:rPr>
        <w:t>Havendo necessidade de execução de serviços, o fiscal da localidade de lotação dos(as) veículos, tratores e máquinas, solicitará orçamento à Contratada, por meio de um estabelecimento credenciado, escolhido a seu critério (do fiscal).</w:t>
      </w:r>
    </w:p>
    <w:p>
      <w:pPr>
        <w:pStyle w:val="Normal"/>
        <w:ind w:left="1134" w:hanging="0"/>
        <w:jc w:val="both"/>
        <w:rPr>
          <w:sz w:val="22"/>
          <w:szCs w:val="22"/>
        </w:rPr>
      </w:pPr>
      <w:r>
        <w:rPr>
          <w:sz w:val="22"/>
          <w:szCs w:val="22"/>
        </w:rPr>
      </w:r>
    </w:p>
    <w:p>
      <w:pPr>
        <w:pStyle w:val="Normal"/>
        <w:ind w:left="1134" w:hanging="0"/>
        <w:jc w:val="both"/>
        <w:rPr>
          <w:color w:val="000000"/>
          <w:sz w:val="22"/>
          <w:szCs w:val="22"/>
        </w:rPr>
      </w:pPr>
      <w:r>
        <w:rPr>
          <w:sz w:val="22"/>
          <w:szCs w:val="22"/>
        </w:rPr>
        <w:t xml:space="preserve">7.8.2.2 </w:t>
      </w:r>
      <w:r>
        <w:rPr>
          <w:color w:val="000000"/>
          <w:sz w:val="22"/>
          <w:szCs w:val="22"/>
        </w:rPr>
        <w:t>O credenciado fornecerá o primeiro orçamento on-line.</w:t>
      </w:r>
    </w:p>
    <w:p>
      <w:pPr>
        <w:pStyle w:val="Normal"/>
        <w:ind w:left="1134" w:hanging="0"/>
        <w:jc w:val="both"/>
        <w:rPr>
          <w:sz w:val="22"/>
          <w:szCs w:val="22"/>
        </w:rPr>
      </w:pPr>
      <w:r>
        <w:rPr>
          <w:sz w:val="22"/>
          <w:szCs w:val="22"/>
        </w:rPr>
      </w:r>
    </w:p>
    <w:p>
      <w:pPr>
        <w:pStyle w:val="Normal"/>
        <w:ind w:left="1134" w:hanging="0"/>
        <w:jc w:val="both"/>
        <w:rPr>
          <w:color w:val="000000"/>
          <w:sz w:val="22"/>
          <w:szCs w:val="22"/>
        </w:rPr>
      </w:pPr>
      <w:r>
        <w:rPr>
          <w:sz w:val="22"/>
          <w:szCs w:val="22"/>
        </w:rPr>
        <w:t xml:space="preserve">7.8.2.3 </w:t>
      </w:r>
      <w:r>
        <w:rPr>
          <w:color w:val="000000"/>
          <w:sz w:val="22"/>
          <w:szCs w:val="22"/>
        </w:rPr>
        <w:t>O fiscal responsável efetuará a abertura de dois outros orçamentos, para estabelecer as 3 cotações, além do primeiro orçamento apresentado. A Contratada efetuará as tratativas para obtenção de melhores resultados devendo fazer as pesquisas de conformidade contratual de preço de peças/materiais/acessórios, de hora de mão de obra e de tempo padrão, buscando o menor preço e as melhores condições para execução do orçamento proposto. Somente estarão dispensados os outros dois orçamentos, quando tratar-se de peças e/ou serviços cujo sistema já tenha registro de comparativo de todas as peças e serviços necessários.</w:t>
      </w:r>
    </w:p>
    <w:p>
      <w:pPr>
        <w:pStyle w:val="Normal"/>
        <w:ind w:left="1134" w:hanging="0"/>
        <w:jc w:val="both"/>
        <w:rPr>
          <w:sz w:val="22"/>
          <w:szCs w:val="22"/>
        </w:rPr>
      </w:pPr>
      <w:r>
        <w:rPr>
          <w:sz w:val="22"/>
          <w:szCs w:val="22"/>
        </w:rPr>
      </w:r>
    </w:p>
    <w:p>
      <w:pPr>
        <w:pStyle w:val="Normal"/>
        <w:ind w:left="1134" w:hanging="0"/>
        <w:jc w:val="both"/>
        <w:rPr>
          <w:b/>
          <w:b/>
          <w:color w:val="000000"/>
          <w:sz w:val="22"/>
          <w:szCs w:val="22"/>
        </w:rPr>
      </w:pPr>
      <w:r>
        <w:rPr>
          <w:sz w:val="22"/>
          <w:szCs w:val="22"/>
        </w:rPr>
        <w:t xml:space="preserve">7.8.2.4 </w:t>
      </w:r>
      <w:r>
        <w:rPr>
          <w:color w:val="000000"/>
          <w:sz w:val="22"/>
          <w:szCs w:val="22"/>
        </w:rPr>
        <w:t>Todas as solicitações/orçamentos/cotações serão realizadas em estabelecimentos indicados pelo fiscal da Contratante, tendo a Contratada a obrigação de negociar cada um deles com o credenciado, visando obtenção dos menores preços e melhores condições.</w:t>
      </w:r>
    </w:p>
    <w:p>
      <w:pPr>
        <w:pStyle w:val="Normal"/>
        <w:ind w:left="1134" w:hanging="0"/>
        <w:rPr>
          <w:color w:val="000000"/>
          <w:sz w:val="22"/>
          <w:szCs w:val="22"/>
        </w:rPr>
      </w:pPr>
      <w:r>
        <w:rPr>
          <w:color w:val="000000"/>
          <w:sz w:val="22"/>
          <w:szCs w:val="22"/>
        </w:rPr>
      </w:r>
    </w:p>
    <w:p>
      <w:pPr>
        <w:pStyle w:val="Normal"/>
        <w:ind w:left="1134" w:hanging="0"/>
        <w:jc w:val="both"/>
        <w:rPr>
          <w:color w:val="000000"/>
          <w:sz w:val="22"/>
          <w:szCs w:val="22"/>
        </w:rPr>
      </w:pPr>
      <w:r>
        <w:rPr>
          <w:sz w:val="22"/>
          <w:szCs w:val="22"/>
        </w:rPr>
        <w:t xml:space="preserve">7.8.2.5 </w:t>
      </w:r>
      <w:r>
        <w:rPr>
          <w:color w:val="000000"/>
          <w:sz w:val="22"/>
          <w:szCs w:val="22"/>
        </w:rPr>
        <w:t>Independente dos descontos contratados e dos valores máximos admitidos para peças e serviços, a Contratada deverá primar por reduzir os gastos com manutenção da Contratante, buscando facilitar as negociações com os estabelecimentos credenciados.</w:t>
      </w:r>
    </w:p>
    <w:p>
      <w:pPr>
        <w:pStyle w:val="Normal"/>
        <w:ind w:left="1134" w:hanging="0"/>
        <w:jc w:val="both"/>
        <w:rPr>
          <w:sz w:val="22"/>
          <w:szCs w:val="22"/>
        </w:rPr>
      </w:pPr>
      <w:r>
        <w:rPr>
          <w:sz w:val="22"/>
          <w:szCs w:val="22"/>
        </w:rPr>
      </w:r>
    </w:p>
    <w:p>
      <w:pPr>
        <w:pStyle w:val="Normal"/>
        <w:widowControl/>
        <w:suppressAutoHyphens w:val="true"/>
        <w:bidi w:val="0"/>
        <w:spacing w:before="0" w:after="0"/>
        <w:ind w:left="1134" w:right="0" w:hanging="0"/>
        <w:jc w:val="both"/>
        <w:rPr>
          <w:color w:val="000000"/>
          <w:sz w:val="22"/>
          <w:szCs w:val="22"/>
        </w:rPr>
      </w:pPr>
      <w:r>
        <w:rPr>
          <w:sz w:val="22"/>
          <w:szCs w:val="22"/>
        </w:rPr>
        <w:t xml:space="preserve">7.8.2.6 </w:t>
      </w:r>
      <w:r>
        <w:rPr>
          <w:color w:val="000000"/>
          <w:sz w:val="22"/>
          <w:szCs w:val="22"/>
        </w:rPr>
        <w:t>Os percentuais de desconto contratados para serviços e peças deverão constar no orçamento antes da aprovação pelo fiscal responsável, e sempre que não forem alcançados tais descontos por não concessão por parte do credenciado, ou outro fator, esse será glosado definitivamente no faturamento da Contratada, independentemente do orçamento ter sido aprovado, pelo fiscal, sem os descontos devidos.</w:t>
      </w:r>
    </w:p>
    <w:p>
      <w:pPr>
        <w:pStyle w:val="Normal"/>
        <w:widowControl/>
        <w:suppressAutoHyphens w:val="true"/>
        <w:bidi w:val="0"/>
        <w:spacing w:before="0" w:after="0"/>
        <w:ind w:left="1134" w:right="0" w:hanging="0"/>
        <w:jc w:val="both"/>
        <w:rPr>
          <w:sz w:val="22"/>
          <w:szCs w:val="22"/>
        </w:rPr>
      </w:pPr>
      <w:r>
        <w:rPr>
          <w:sz w:val="22"/>
          <w:szCs w:val="22"/>
        </w:rPr>
      </w:r>
    </w:p>
    <w:p>
      <w:pPr>
        <w:pStyle w:val="Normal"/>
        <w:widowControl/>
        <w:suppressAutoHyphens w:val="true"/>
        <w:bidi w:val="0"/>
        <w:spacing w:before="0" w:after="0"/>
        <w:ind w:left="1134" w:right="0" w:hanging="0"/>
        <w:jc w:val="both"/>
        <w:rPr>
          <w:color w:val="000000"/>
          <w:sz w:val="22"/>
          <w:szCs w:val="22"/>
        </w:rPr>
      </w:pPr>
      <w:r>
        <w:rPr>
          <w:sz w:val="22"/>
          <w:szCs w:val="22"/>
        </w:rPr>
        <w:t>7.8.2.7</w:t>
      </w:r>
      <w:r>
        <w:rPr>
          <w:color w:val="000000"/>
          <w:sz w:val="22"/>
          <w:szCs w:val="22"/>
        </w:rPr>
        <w:t xml:space="preserve"> Sempre que a Contratada aprovar orçamentos, sem observância dos itens tratados neste Termo de Referência, a Contratante efetuará glosas dos valores excedentes, sem prejuízo do fiscal ter feito aprovação anterior, no próprio sistema.</w:t>
      </w:r>
    </w:p>
    <w:p>
      <w:pPr>
        <w:pStyle w:val="Normal"/>
        <w:widowControl/>
        <w:suppressAutoHyphens w:val="true"/>
        <w:bidi w:val="0"/>
        <w:spacing w:before="0" w:after="0"/>
        <w:ind w:left="1134" w:right="0" w:hanging="0"/>
        <w:jc w:val="both"/>
        <w:rPr>
          <w:sz w:val="22"/>
          <w:szCs w:val="22"/>
        </w:rPr>
      </w:pPr>
      <w:r>
        <w:rPr>
          <w:sz w:val="22"/>
          <w:szCs w:val="22"/>
        </w:rPr>
      </w:r>
    </w:p>
    <w:p>
      <w:pPr>
        <w:pStyle w:val="Normal"/>
        <w:widowControl/>
        <w:shd w:val="clear" w:color="auto" w:fill="FFFFFF"/>
        <w:suppressAutoHyphens w:val="true"/>
        <w:bidi w:val="0"/>
        <w:spacing w:before="0" w:after="0"/>
        <w:ind w:left="1134" w:right="0" w:hanging="0"/>
        <w:jc w:val="both"/>
        <w:rPr>
          <w:color w:val="000000"/>
          <w:sz w:val="22"/>
          <w:szCs w:val="22"/>
        </w:rPr>
      </w:pPr>
      <w:r>
        <w:rPr>
          <w:sz w:val="22"/>
          <w:szCs w:val="22"/>
        </w:rPr>
        <w:t>7.8.2.8 A</w:t>
      </w:r>
      <w:r>
        <w:rPr>
          <w:color w:val="000000"/>
          <w:sz w:val="22"/>
          <w:szCs w:val="22"/>
        </w:rPr>
        <w:t xml:space="preserve"> Contratada apresenta os orçamentos e as pesquisas ao fiscal responsável </w:t>
      </w:r>
      <w:r>
        <w:rPr>
          <w:sz w:val="22"/>
          <w:szCs w:val="22"/>
        </w:rPr>
        <w:t>pelos veículos,</w:t>
      </w:r>
      <w:r>
        <w:rPr>
          <w:color w:val="000000"/>
          <w:sz w:val="22"/>
          <w:szCs w:val="22"/>
        </w:rPr>
        <w:t xml:space="preserve"> tratores e máquinas, a serem reparados, em conformidade com o previsto no item 7.8.2.7.</w:t>
      </w:r>
    </w:p>
    <w:p>
      <w:pPr>
        <w:pStyle w:val="Normal"/>
        <w:widowControl/>
        <w:shd w:val="clear" w:color="auto" w:fill="FFFFFF"/>
        <w:suppressAutoHyphens w:val="true"/>
        <w:bidi w:val="0"/>
        <w:spacing w:before="0" w:after="0"/>
        <w:ind w:left="1134" w:right="0" w:hanging="0"/>
        <w:jc w:val="both"/>
        <w:rPr>
          <w:sz w:val="22"/>
          <w:szCs w:val="22"/>
        </w:rPr>
      </w:pPr>
      <w:r>
        <w:rPr>
          <w:sz w:val="22"/>
          <w:szCs w:val="22"/>
        </w:rPr>
      </w:r>
    </w:p>
    <w:p>
      <w:pPr>
        <w:pStyle w:val="Normal"/>
        <w:widowControl/>
        <w:suppressAutoHyphens w:val="true"/>
        <w:bidi w:val="0"/>
        <w:spacing w:before="0" w:after="0"/>
        <w:ind w:left="1134" w:right="0" w:hanging="0"/>
        <w:jc w:val="both"/>
        <w:rPr>
          <w:color w:val="000000"/>
          <w:sz w:val="22"/>
          <w:szCs w:val="22"/>
        </w:rPr>
      </w:pPr>
      <w:r>
        <w:rPr>
          <w:sz w:val="22"/>
          <w:szCs w:val="22"/>
        </w:rPr>
        <w:t xml:space="preserve">7.8.2.9 </w:t>
      </w:r>
      <w:r>
        <w:rPr>
          <w:color w:val="000000"/>
          <w:sz w:val="22"/>
          <w:szCs w:val="22"/>
        </w:rPr>
        <w:t>O fiscal responsável pelos(as) veículos, tratores e máquinas, a ser reparado deverá verificar a conformidade dos valores e tempos apresentados, utilizando os sistemas contratados, quando for o caso, bem como as tabelas tempárias.</w:t>
      </w:r>
    </w:p>
    <w:p>
      <w:pPr>
        <w:pStyle w:val="Normal"/>
        <w:ind w:left="2151" w:hanging="0"/>
        <w:jc w:val="both"/>
        <w:rPr>
          <w:sz w:val="22"/>
          <w:szCs w:val="22"/>
        </w:rPr>
      </w:pPr>
      <w:r>
        <w:rPr>
          <w:sz w:val="22"/>
          <w:szCs w:val="22"/>
        </w:rPr>
      </w:r>
    </w:p>
    <w:p>
      <w:pPr>
        <w:pStyle w:val="Normal"/>
        <w:ind w:left="1134" w:hanging="0"/>
        <w:jc w:val="both"/>
        <w:rPr>
          <w:color w:val="000000"/>
          <w:sz w:val="22"/>
          <w:szCs w:val="22"/>
        </w:rPr>
      </w:pPr>
      <w:r>
        <w:rPr>
          <w:sz w:val="22"/>
          <w:szCs w:val="22"/>
        </w:rPr>
        <w:t>7.8.2.10</w:t>
      </w:r>
      <w:r>
        <w:rPr>
          <w:color w:val="000000"/>
          <w:sz w:val="22"/>
          <w:szCs w:val="22"/>
        </w:rPr>
        <w:t xml:space="preserve"> O fiscal responsável pelos(as) veículos, tratores e máquinas, a serem reparados efetua a autorização on-line do orçamento.</w:t>
      </w:r>
    </w:p>
    <w:p>
      <w:pPr>
        <w:pStyle w:val="Normal"/>
        <w:ind w:left="2151"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57"/>
        <w:jc w:val="both"/>
        <w:rPr/>
      </w:pPr>
      <w:r>
        <w:rPr>
          <w:color w:val="000000"/>
          <w:sz w:val="22"/>
          <w:szCs w:val="22"/>
        </w:rPr>
        <w:t>A credenciada pela Contratada deverá disponibilizar local adequado para inspeção prévia de todas as peças a serem substituídas nos veículos, tratores e máquinas, da Contratante, fornecendo relação das mesmas e seus respectivos códigos, que serão verificados pelo fiscal da Contratante.</w:t>
      </w:r>
    </w:p>
    <w:p>
      <w:pPr>
        <w:pStyle w:val="Normal"/>
        <w:ind w:left="1276"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Nos orçamentos apresentados pela Contratada deverão constar também as seguintes informações: data de emissão, marca/modelo e ano, placa e Odômetro dos(as) veículos, tratores e máquinas, no momento do orçamento, e campo “observações” para inclusão de informações que sejam de caráter relevante para o fiscal do Contrato, sendo de exclusiva responsabilidade da Contratada os prejuízos advindos da omissão dessas informações.</w:t>
      </w:r>
    </w:p>
    <w:p>
      <w:pPr>
        <w:pStyle w:val="Normal"/>
        <w:ind w:left="2151" w:hanging="0"/>
        <w:jc w:val="both"/>
        <w:rPr>
          <w:color w:val="000000"/>
          <w:sz w:val="22"/>
          <w:szCs w:val="22"/>
        </w:rPr>
      </w:pPr>
      <w:r>
        <w:rPr>
          <w:color w:val="000000"/>
          <w:sz w:val="22"/>
          <w:szCs w:val="22"/>
        </w:rPr>
      </w:r>
    </w:p>
    <w:p>
      <w:pPr>
        <w:pStyle w:val="Normal"/>
        <w:widowControl/>
        <w:suppressAutoHyphens w:val="true"/>
        <w:bidi w:val="0"/>
        <w:spacing w:before="0" w:after="0"/>
        <w:ind w:left="1134" w:right="0" w:hanging="0"/>
        <w:jc w:val="both"/>
        <w:rPr/>
      </w:pPr>
      <w:r>
        <w:rPr>
          <w:color w:val="000000"/>
          <w:sz w:val="22"/>
          <w:szCs w:val="22"/>
        </w:rPr>
        <w:t>7.8.4.1 Caberá à Contratada verificar se o preço inicial proposto está de acordo com o preço praticado no mercado, o que deverá ser feito por meio de consulta online aos sistemas contratados, Audatex/Molicar, Cilia, Orion, ou outro similar, ou ainda, quando não disponível neste, por pesquisa em estabelecimentos concessionários do fabricante, local ou regional(no município/cidade ou, no máximo, no estado onde se localiza o estabelecimento que apresentou o orçamento), de venda de peças e/ou serviços similares, e ainda verificar a conformidade quanto ao tempo padrão indicado, devendo fazer todos os ajustes, antes da liberação do orçamento para aprovação pelo fiscal,  sendo que as consultas  apresentadas deverão conter marca, modelo, motorização, versão e ano fabricação/modelo.</w:t>
      </w:r>
    </w:p>
    <w:p>
      <w:pPr>
        <w:pStyle w:val="Normal"/>
        <w:widowControl w:val="false"/>
        <w:tabs>
          <w:tab w:val="clear" w:pos="720"/>
          <w:tab w:val="left" w:pos="889" w:leader="none"/>
        </w:tabs>
        <w:ind w:left="2394" w:right="-143" w:hanging="0"/>
        <w:jc w:val="both"/>
        <w:rPr>
          <w:color w:val="000000"/>
          <w:sz w:val="22"/>
          <w:szCs w:val="22"/>
          <w:highlight w:val="yellow"/>
        </w:rPr>
      </w:pPr>
      <w:r>
        <w:rPr>
          <w:color w:val="000000"/>
          <w:sz w:val="22"/>
          <w:szCs w:val="22"/>
          <w:highlight w:val="yellow"/>
        </w:rPr>
      </w:r>
    </w:p>
    <w:p>
      <w:pPr>
        <w:pStyle w:val="Normal"/>
        <w:widowControl w:val="false"/>
        <w:tabs>
          <w:tab w:val="clear" w:pos="720"/>
          <w:tab w:val="left" w:pos="1700" w:leader="none"/>
        </w:tabs>
        <w:ind w:left="1701" w:right="-143" w:hanging="0"/>
        <w:jc w:val="both"/>
        <w:rPr/>
      </w:pPr>
      <w:r>
        <w:rPr>
          <w:color w:val="000000"/>
          <w:sz w:val="22"/>
          <w:szCs w:val="22"/>
        </w:rPr>
        <w:t>7.8.4.1.1 A contratante, através do fiscal do contrato, realizará pesquisa de preços utilizando os parâmetros estabelecidos na Instrução Normativa SEGES/ME nº 65 de 07 de julho de 2021 a fim de comparar os preços apresentados pela contratada.</w:t>
      </w:r>
    </w:p>
    <w:p>
      <w:pPr>
        <w:pStyle w:val="Normal"/>
        <w:ind w:left="1701" w:hanging="0"/>
        <w:jc w:val="both"/>
        <w:rPr>
          <w:sz w:val="22"/>
          <w:szCs w:val="22"/>
        </w:rPr>
      </w:pPr>
      <w:r>
        <w:rPr>
          <w:sz w:val="22"/>
          <w:szCs w:val="22"/>
        </w:rPr>
      </w:r>
    </w:p>
    <w:p>
      <w:pPr>
        <w:pStyle w:val="Normal"/>
        <w:ind w:left="1134" w:hanging="0"/>
        <w:jc w:val="both"/>
        <w:rPr>
          <w:color w:val="000000"/>
          <w:sz w:val="22"/>
          <w:szCs w:val="22"/>
        </w:rPr>
      </w:pPr>
      <w:r>
        <w:rPr>
          <w:color w:val="000000"/>
          <w:sz w:val="22"/>
          <w:szCs w:val="22"/>
        </w:rPr>
        <w:t>7.8.4.2 Após a Contratada realizar as verificações no orçamento, esse poderá ser aprovado pelo fiscal, sem prejuízo de glosas definitivas no momento da preparação do pagamento mensal da fatura correspondente e/ou subsequente.</w:t>
      </w:r>
    </w:p>
    <w:p>
      <w:pPr>
        <w:pStyle w:val="Normal"/>
        <w:ind w:left="2151"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O fiscal poderá recusar os orçamentos, pedir sua revisão, inclusão de itens ou aceitá-los parcialmente, comprometendo-se a Contratada, e sua rede credenciada, a executar ou fornecer o que for aprovado em todo ou em parte, tendo a Contratada o prazo máximo de </w:t>
      </w:r>
      <w:r>
        <w:rPr>
          <w:sz w:val="22"/>
          <w:szCs w:val="22"/>
        </w:rPr>
        <w:t>24(vinte e quatro) horas</w:t>
      </w:r>
      <w:r>
        <w:rPr>
          <w:color w:val="000000"/>
          <w:sz w:val="22"/>
          <w:szCs w:val="22"/>
        </w:rPr>
        <w:t>, contados a partir da rejeição, para incluir, refazer ou corrigir os serviços não aceitos.</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Sempre que algum valor de peça ou mão de obra não constar nas tabelas on-line fornecidas, a Contratada deverá comprovar a pesquisa de preço no mercado local e/ou regional (no município/cidade ou, no máximo, no estado onde se localiza o estabelecimento que apresentou o orçamento), registrando todos os dados da consulta, que poderá ser feita às tabelas de preços fornecidas pelos fabricantes, nos sítios eletrônicos disponíveis para consulta, na própria loja de venda de peças, ou ainda via telefone, e-mail, ofício, ou pessoalmente, desde que conste registrada a forma utilizada, devendo, para isso, inserir anotações no corpo do próprio orçamento apresentado, ou encaminhar esses dados para o Fiscal responsável. </w:t>
      </w:r>
    </w:p>
    <w:p>
      <w:pPr>
        <w:pStyle w:val="Normal"/>
        <w:ind w:left="1674" w:hanging="0"/>
        <w:jc w:val="both"/>
        <w:rPr>
          <w:sz w:val="22"/>
          <w:szCs w:val="22"/>
        </w:rPr>
      </w:pPr>
      <w:r>
        <w:rPr>
          <w:sz w:val="22"/>
          <w:szCs w:val="22"/>
        </w:rPr>
      </w:r>
    </w:p>
    <w:p>
      <w:pPr>
        <w:pStyle w:val="Normal"/>
        <w:widowControl/>
        <w:suppressAutoHyphens w:val="true"/>
        <w:bidi w:val="0"/>
        <w:spacing w:before="0" w:after="0"/>
        <w:ind w:left="1134" w:right="0" w:hanging="0"/>
        <w:jc w:val="both"/>
        <w:rPr/>
      </w:pPr>
      <w:r>
        <w:rPr>
          <w:color w:val="000000"/>
          <w:sz w:val="22"/>
          <w:szCs w:val="22"/>
        </w:rPr>
        <w:t>7.8.6.1 A pesquisa apresentada precisa referir-se exatamente a marca/modelo dos(as) veículos, tratores e motosserra, no qual está sendo executado o serviço, local ou regional, ou seja, somente servirá de comparativo aquele preço obtido no município/cidade ou, no máximo, no estado onde se localiza o estabelecimento que apresentou o orçamento.</w:t>
      </w:r>
    </w:p>
    <w:p>
      <w:pPr>
        <w:pStyle w:val="Normal"/>
        <w:ind w:left="2151"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Para peças exclusivas, onde não haja parâmetros para comparação em razão da existência de um único fornecedor, deverá registrar essa informação, que servirá, por meio da apresentação de notas fiscais ou documentos que </w:t>
      </w:r>
      <w:r>
        <w:rPr>
          <w:sz w:val="22"/>
          <w:szCs w:val="22"/>
        </w:rPr>
        <w:t>comprovem o fornecimento</w:t>
      </w:r>
      <w:r>
        <w:rPr>
          <w:color w:val="000000"/>
          <w:sz w:val="22"/>
          <w:szCs w:val="22"/>
        </w:rPr>
        <w:t xml:space="preserve"> anterior, como justificativa para a ausência de comparativos de mercado.</w:t>
      </w:r>
    </w:p>
    <w:p>
      <w:pPr>
        <w:pStyle w:val="Normal"/>
        <w:ind w:left="1134" w:hanging="0"/>
        <w:jc w:val="both"/>
        <w:rPr>
          <w:b/>
          <w:b/>
          <w:color w:val="000000"/>
          <w:sz w:val="22"/>
          <w:szCs w:val="22"/>
        </w:rPr>
      </w:pPr>
      <w:r>
        <w:rPr>
          <w:b/>
          <w:color w:val="000000"/>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 </w:t>
      </w:r>
      <w:r>
        <w:rPr>
          <w:color w:val="000000"/>
          <w:sz w:val="22"/>
          <w:szCs w:val="22"/>
        </w:rPr>
        <w:t>No caso de veículos que tenham modificações estruturais, pela especificidade das atividades desenvolvidas (por exemplo: unidades móveis/resgates/veículos de cinotecnia/veículos de telecomunicações e outros), e consequentemente as partes que também sofreram adaptações (mecânicas e/ou elétricas), o parâmetro de comparação não levará mais em conta a originalidade inicial (antes da modificação), mas sim aquela configuração apresentada desde o início do uso pela Contratante.</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O Fiscal responsável pela unidade de lotação dos(as) veículos, tratores e máquinas a ser manutenido autorizará a execução de serviço por meio do próprio sistema informatizado disponibilizado pela Contratada.</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Cada Fiscal responsável pela unidade de lotação dos(as) veículos, tratores e máquinas a ser manutenido deverá acompanhar e fiscalizar a execução dos serviços e o fornecimento das peças, objeto da contratação, podendo sustar, recusar, mandar fazer, refazer ou desfazer qualquer serviço que não esteja de acordo com as condições e exigências especificadas, bem como receber as peças substituídas.</w:t>
      </w:r>
    </w:p>
    <w:p>
      <w:pPr>
        <w:pStyle w:val="Normal"/>
        <w:ind w:left="1134" w:hanging="0"/>
        <w:jc w:val="both"/>
        <w:rPr>
          <w:color w:val="000000"/>
          <w:sz w:val="22"/>
          <w:szCs w:val="22"/>
        </w:rPr>
      </w:pPr>
      <w:r>
        <w:rPr>
          <w:color w:val="000000"/>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 </w:t>
      </w:r>
      <w:r>
        <w:rPr>
          <w:color w:val="000000"/>
          <w:sz w:val="22"/>
          <w:szCs w:val="22"/>
        </w:rPr>
        <w:t>É prerrogativa do Fiscal responsável pela unidade de lotação dos(as) veículos, tratores e máquinas, rejeitar, no todo ou em parte, serviço ou fornecimento executado em desacordo com o presente Termo de Referência e seus anexos.</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 </w:t>
      </w:r>
      <w:r>
        <w:rPr>
          <w:color w:val="000000"/>
          <w:sz w:val="22"/>
          <w:szCs w:val="22"/>
        </w:rPr>
        <w:t>Os orçamentos apresentados pelas credenciadas da Contratada terão validade mínima de 30(Trinta) dias, período durante o qual não poderá alterar os preços das peças e serviços orçados, independente de flutuações do mercado e da data em que a Contratante autorizar a execução dos serviços.</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Havendo alteração nos preços praticados pelas montadoras, caberá à Contratada atualizá-los nos sistemas contratados, ou fornecer à Contratante as novas tabelas de preços atualizados.</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Caberá à Contratada, em até cinco dias úteis após o início da vigência do Contrato, fornecer aos fiscais do contrato, as tabelas de tempo padrão dos fabricantes de cada marca, em meio impresso e/ou eletrônico, caso não forneça sistema online de pesquisa de tempárias.</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 </w:t>
      </w:r>
      <w:r>
        <w:rPr>
          <w:color w:val="000000"/>
          <w:sz w:val="22"/>
          <w:szCs w:val="22"/>
        </w:rPr>
        <w:t>As tabelas apresentadas prestar-se-ão para o cálculo dos preços a serem pagos por serviço executado onde os valores da hora não poderão exceder na tabela de preços do fabricante, ou no preço do pacote fechado de revisão em garantia.</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 xml:space="preserve"> </w:t>
      </w:r>
      <w:r>
        <w:rPr>
          <w:color w:val="000000"/>
          <w:sz w:val="22"/>
          <w:szCs w:val="22"/>
        </w:rPr>
        <w:t>As peças e suas quantidades, bem como o número de horas/serviços a serem executados, deverão corresponder ao efetivamente necessário para a realização da respectiva manutenção dos(as) veículos, tratores e máquinas, devendo as credenciadas pela Contratada abster-se de propor peças, serviços e horas em desacordo com o realmente empregado em cada caso concreto, conforme o que prevê o fabricante do mesmo.</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Após receber solicitação para remover os(as) veículos, tratores, máquinas agrícolas e implementos, geradores, roçadeiras, cortadores e maquinários, a ser emitida pelo Fiscal responsável pela unidade de lotação dos(as) veículos, tratores e máquinas a ser manutenido, ou receber os mesmos em condições próprias de locomoção e/ou efetiva atividade, em suas instalações, o credenciado da Contratada terá um prazo de até 02 (dois) dias úteis para apresentar orçamento para os devidos reparos, ou não tendo condições de fazê-lo nesse prazo, deverá apresentar as justificativas ao Fiscal, informando por escrito um novo prazo, que será analisado pelo fiscal responsável, em consonância com o serviço a ser executado.</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Poderão ser trocadas todas as peças que compõem o veículo, inclusive de seus acessórios, desde que o orçamento não ultrapasse a importância de 50% (cinquenta por cento) do valor de mercado do veículo, nos termos do Art. 2º da Instrução Normativa nº 03, de 15 de maio de 2008, do Ministério do Planejamento Orçamento e Gestão.</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Fica estabelecido o uso da tabela FIPE para consulta do valor de mercado dos veículos a serem consertados.</w:t>
      </w:r>
    </w:p>
    <w:p>
      <w:pPr>
        <w:pStyle w:val="Normal"/>
        <w:ind w:left="1134" w:hanging="0"/>
        <w:jc w:val="both"/>
        <w:rPr>
          <w:color w:val="000000"/>
          <w:sz w:val="22"/>
          <w:szCs w:val="22"/>
        </w:rPr>
      </w:pPr>
      <w:r>
        <w:rPr>
          <w:color w:val="000000"/>
          <w:sz w:val="22"/>
          <w:szCs w:val="22"/>
        </w:rPr>
      </w:r>
    </w:p>
    <w:p>
      <w:pPr>
        <w:pStyle w:val="Normal"/>
        <w:widowControl/>
        <w:numPr>
          <w:ilvl w:val="1"/>
          <w:numId w:val="7"/>
        </w:numPr>
        <w:suppressAutoHyphens w:val="true"/>
        <w:bidi w:val="0"/>
        <w:spacing w:before="0" w:after="0"/>
        <w:ind w:left="0" w:right="0" w:hanging="0"/>
        <w:jc w:val="both"/>
        <w:rPr/>
      </w:pPr>
      <w:r>
        <w:rPr>
          <w:b/>
          <w:color w:val="000000"/>
          <w:sz w:val="22"/>
          <w:szCs w:val="22"/>
        </w:rPr>
        <w:t>Da Recepção e Aceitação dos Serviços</w:t>
      </w:r>
    </w:p>
    <w:p>
      <w:pPr>
        <w:pStyle w:val="Normal"/>
        <w:ind w:left="1134" w:hanging="0"/>
        <w:jc w:val="both"/>
        <w:rPr>
          <w:color w:val="000000"/>
          <w:sz w:val="22"/>
          <w:szCs w:val="22"/>
        </w:rPr>
      </w:pPr>
      <w:r>
        <w:rPr>
          <w:color w:val="000000"/>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A recepção dos serviços não implica na sua aceitação definitiva, que dependerá da verificação da qualidade dos mesmos pelo fiscal responsável pela unidade de lotação dos(as) veículos, tratores e máquinas a ser manutenido, designado para tal, pela Contratante.</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A recepção dos(as) veículos, tratores e máquinas, será feita por servidor designado pelo fiscal da Contratante, que verificará seu correto funcionamento, comunicando em seguida ao fiscal responsável pelos(as) veículos, tratores e máquinas, qualquer inconsistência observada.</w:t>
      </w:r>
    </w:p>
    <w:p>
      <w:pPr>
        <w:pStyle w:val="Normal"/>
        <w:ind w:left="1134" w:hanging="0"/>
        <w:jc w:val="both"/>
        <w:rPr>
          <w:sz w:val="22"/>
          <w:szCs w:val="22"/>
        </w:rPr>
      </w:pPr>
      <w:r>
        <w:rPr>
          <w:sz w:val="22"/>
          <w:szCs w:val="22"/>
        </w:rPr>
      </w:r>
    </w:p>
    <w:p>
      <w:pPr>
        <w:pStyle w:val="Normal"/>
        <w:widowControl/>
        <w:numPr>
          <w:ilvl w:val="2"/>
          <w:numId w:val="7"/>
        </w:numPr>
        <w:suppressAutoHyphens w:val="true"/>
        <w:bidi w:val="0"/>
        <w:spacing w:before="0" w:after="0"/>
        <w:ind w:left="567" w:right="0" w:hanging="0"/>
        <w:jc w:val="both"/>
        <w:rPr/>
      </w:pPr>
      <w:r>
        <w:rPr>
          <w:color w:val="000000"/>
          <w:sz w:val="22"/>
          <w:szCs w:val="22"/>
        </w:rPr>
        <w:t>Ainda que a Contratada já tenha emitido nota fiscal, está só será liquidada após resolução plena do defeito constatado, sendo que peças, suprimentos e acessórios não aceitos, devem ser substituídos imediatamente após solicitação do fiscal responsável que pode ser feita via telefone, correio eletrônico, e-mail ou ofício.</w:t>
      </w:r>
    </w:p>
    <w:p>
      <w:pPr>
        <w:pStyle w:val="Normal"/>
        <w:ind w:left="1134" w:hanging="0"/>
        <w:jc w:val="both"/>
        <w:rPr>
          <w:sz w:val="22"/>
          <w:szCs w:val="22"/>
        </w:rPr>
      </w:pPr>
      <w:r>
        <w:rPr>
          <w:sz w:val="22"/>
          <w:szCs w:val="22"/>
        </w:rPr>
      </w:r>
    </w:p>
    <w:p>
      <w:pPr>
        <w:pStyle w:val="Normal"/>
        <w:widowControl/>
        <w:numPr>
          <w:ilvl w:val="2"/>
          <w:numId w:val="7"/>
        </w:numPr>
        <w:tabs>
          <w:tab w:val="clear" w:pos="720"/>
          <w:tab w:val="left" w:pos="450" w:leader="none"/>
        </w:tabs>
        <w:suppressAutoHyphens w:val="true"/>
        <w:bidi w:val="0"/>
        <w:spacing w:before="0" w:after="0"/>
        <w:ind w:left="567" w:right="0" w:hanging="0"/>
        <w:jc w:val="both"/>
        <w:rPr/>
      </w:pPr>
      <w:r>
        <w:rPr>
          <w:color w:val="000000"/>
          <w:sz w:val="22"/>
          <w:szCs w:val="22"/>
        </w:rPr>
        <w:t>Os serviços poderão ser rejeitados, no todo ou em parte, quando em desacordo com as especificações constantes neste Termo de Referência e na proposta, devendo ser corrigidos/refeitos/substituídos no prazo máximo de 03 dias úteis a partir da solicitação do fiscal responsável, às custas da Contratada, sem prejuízo da aplicação de penalidades.</w:t>
      </w:r>
    </w:p>
    <w:p>
      <w:pPr>
        <w:pStyle w:val="Normal"/>
        <w:widowControl/>
        <w:numPr>
          <w:ilvl w:val="2"/>
          <w:numId w:val="7"/>
        </w:numPr>
        <w:suppressAutoHyphens w:val="true"/>
        <w:bidi w:val="0"/>
        <w:spacing w:before="0" w:after="0"/>
        <w:ind w:left="567" w:right="0" w:hanging="0"/>
        <w:jc w:val="both"/>
        <w:rPr/>
      </w:pPr>
      <w:r>
        <w:rPr>
          <w:color w:val="000000"/>
          <w:sz w:val="22"/>
          <w:szCs w:val="22"/>
        </w:rPr>
        <w:t>Todas as vezes que o serviço e o material forem aceitos, o fiscal de contrato emitirá um laudo de aceitação, que deverá ser encaminhado para fins de conformidade do processo de pagamento mensal.</w:t>
      </w:r>
    </w:p>
    <w:p>
      <w:pPr>
        <w:pStyle w:val="Normal"/>
        <w:ind w:left="1134" w:hanging="0"/>
        <w:jc w:val="both"/>
        <w:rPr>
          <w:sz w:val="22"/>
          <w:szCs w:val="22"/>
        </w:rPr>
      </w:pPr>
      <w:r>
        <w:rPr>
          <w:sz w:val="22"/>
          <w:szCs w:val="22"/>
        </w:rPr>
      </w:r>
    </w:p>
    <w:p>
      <w:pPr>
        <w:pStyle w:val="Normal"/>
        <w:widowControl/>
        <w:numPr>
          <w:ilvl w:val="1"/>
          <w:numId w:val="7"/>
        </w:numPr>
        <w:suppressAutoHyphens w:val="true"/>
        <w:bidi w:val="0"/>
        <w:spacing w:before="0" w:after="120"/>
        <w:ind w:left="0" w:right="0" w:hanging="0"/>
        <w:jc w:val="both"/>
        <w:rPr/>
      </w:pPr>
      <w:r>
        <w:rPr>
          <w:color w:val="000000"/>
          <w:sz w:val="22"/>
          <w:szCs w:val="22"/>
        </w:rPr>
        <w:t xml:space="preserve">A execução dos serviços será iniciada, no máximo, até 15 dias após a assinatura do contrato. </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MODELO DE GESTÃO DO CONTRATO E CRITÉRIOS DE MEDIÇÃO:</w:t>
      </w:r>
    </w:p>
    <w:p>
      <w:pPr>
        <w:pStyle w:val="Normal"/>
        <w:keepNext w:val="true"/>
        <w:keepLines/>
        <w:widowControl/>
        <w:suppressAutoHyphens w:val="true"/>
        <w:bidi w:val="0"/>
        <w:spacing w:lineRule="auto" w:line="276" w:before="480" w:after="0"/>
        <w:ind w:left="0" w:right="0" w:hanging="0"/>
        <w:jc w:val="both"/>
        <w:rPr/>
      </w:pPr>
      <w:r>
        <w:rPr>
          <w:color w:val="000000"/>
          <w:sz w:val="22"/>
          <w:szCs w:val="22"/>
        </w:rPr>
        <w:t xml:space="preserve">8.1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 </w:t>
      </w:r>
    </w:p>
    <w:p>
      <w:pPr>
        <w:pStyle w:val="Normal"/>
        <w:keepNext w:val="true"/>
        <w:keepLines/>
        <w:widowControl/>
        <w:suppressAutoHyphens w:val="true"/>
        <w:bidi w:val="0"/>
        <w:spacing w:lineRule="auto" w:line="276" w:before="120" w:after="0"/>
        <w:ind w:left="0" w:right="0" w:hanging="0"/>
        <w:jc w:val="both"/>
        <w:rPr/>
      </w:pPr>
      <w:r>
        <w:rPr>
          <w:color w:val="000000"/>
          <w:sz w:val="22"/>
          <w:szCs w:val="22"/>
        </w:rPr>
        <w:t xml:space="preserve">8.2 Participarão da gestão contratual os seguintes atores, com suas respectivas responsabilidades: </w:t>
      </w:r>
    </w:p>
    <w:p>
      <w:pPr>
        <w:pStyle w:val="Normal"/>
        <w:keepNext w:val="true"/>
        <w:keepLines/>
        <w:widowControl/>
        <w:suppressAutoHyphens w:val="true"/>
        <w:bidi w:val="0"/>
        <w:spacing w:lineRule="auto" w:line="276" w:before="120" w:after="0"/>
        <w:ind w:left="624" w:right="0" w:hanging="0"/>
        <w:jc w:val="both"/>
        <w:rPr/>
      </w:pPr>
      <w:r>
        <w:rPr>
          <w:color w:val="000000"/>
          <w:sz w:val="22"/>
          <w:szCs w:val="22"/>
        </w:rPr>
        <w:t>8.2.1 Gestor do Contrato: responsável pela coordenação das atividades relacionadas à gestão do Contrato, bem como pela formalização dos procedimentos que envolvam prorrogação, alteração, reequilíbrio, pagamento, aplicação de sanções, dentre outros. É também o responsável pelo recebimento definitivo dos serviços.</w:t>
      </w:r>
    </w:p>
    <w:p>
      <w:pPr>
        <w:pStyle w:val="Normal"/>
        <w:keepNext w:val="true"/>
        <w:keepLines/>
        <w:widowControl/>
        <w:suppressAutoHyphens w:val="true"/>
        <w:bidi w:val="0"/>
        <w:spacing w:lineRule="auto" w:line="276" w:before="120" w:after="0"/>
        <w:ind w:left="567" w:right="0" w:hanging="0"/>
        <w:jc w:val="both"/>
        <w:rPr/>
      </w:pPr>
      <w:r>
        <w:rPr>
          <w:color w:val="000000"/>
          <w:sz w:val="22"/>
          <w:szCs w:val="22"/>
        </w:rPr>
        <w:t>8.2.2 Fiscal Técnico: responsável pela avaliação da execução do objeto nos moldes contratados, aferindo se a quantidade, qualidade, tempo e modo de prestação dos serviços estão compatíveis com os indicadores de desempenho previstos neste Termo de Referência.</w:t>
      </w:r>
    </w:p>
    <w:p>
      <w:pPr>
        <w:pStyle w:val="Normal"/>
        <w:keepNext w:val="true"/>
        <w:keepLines/>
        <w:spacing w:lineRule="auto" w:line="276"/>
        <w:ind w:left="993"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567" w:right="0" w:hanging="0"/>
        <w:jc w:val="both"/>
        <w:rPr/>
      </w:pPr>
      <w:r>
        <w:rPr>
          <w:color w:val="000000"/>
          <w:sz w:val="22"/>
          <w:szCs w:val="22"/>
        </w:rPr>
        <w:t>8.2.3 Fiscalização Administrativa: é o acompanhamento dos aspectos administrativos da execução dos serviços, quanto às obrigações previdenciárias, fiscais e trabalhistas, bem como quanto às providências tempestivas nos casos de inadimplemento.</w:t>
      </w:r>
    </w:p>
    <w:p>
      <w:pPr>
        <w:pStyle w:val="Normal"/>
        <w:keepNext w:val="true"/>
        <w:keepLines/>
        <w:spacing w:lineRule="auto" w:line="276"/>
        <w:ind w:left="644"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0" w:right="0" w:hanging="0"/>
        <w:jc w:val="both"/>
        <w:rPr/>
      </w:pPr>
      <w:r>
        <w:rPr>
          <w:color w:val="000000"/>
          <w:sz w:val="22"/>
          <w:szCs w:val="22"/>
        </w:rPr>
        <w:t>8.3 Durante a execução do objeto, o fiscal técnico deverá monitorar constantemente o nível de qualidade dos serviços para evitar a sua degeneração, devendo intervir para requerer à CONTRATADA a correção das faltas, falhas e irregularidades constatadas.</w:t>
      </w:r>
    </w:p>
    <w:p>
      <w:pPr>
        <w:pStyle w:val="Normal"/>
        <w:keepNext w:val="true"/>
        <w:keepLines/>
        <w:widowControl/>
        <w:suppressAutoHyphens w:val="true"/>
        <w:bidi w:val="0"/>
        <w:spacing w:lineRule="auto" w:line="276" w:before="120" w:after="0"/>
        <w:ind w:left="0" w:right="0" w:hanging="0"/>
        <w:jc w:val="both"/>
        <w:rPr/>
      </w:pPr>
      <w:r>
        <w:rPr>
          <w:color w:val="000000"/>
          <w:sz w:val="22"/>
          <w:szCs w:val="22"/>
        </w:rPr>
        <w:t>8.4 O fiscal técnico deverá apresentar ao preposto da CONTRATADA a avaliação da execução do objeto ou, se for acaso, a avaliação de desempenho e qualidade da prestação dos serviços realizada.</w:t>
      </w:r>
    </w:p>
    <w:p>
      <w:pPr>
        <w:pStyle w:val="Normal"/>
        <w:keepNext w:val="true"/>
        <w:keepLines/>
        <w:widowControl/>
        <w:suppressAutoHyphens w:val="true"/>
        <w:bidi w:val="0"/>
        <w:spacing w:lineRule="auto" w:line="276" w:before="120" w:after="0"/>
        <w:ind w:left="0" w:right="0" w:hanging="0"/>
        <w:jc w:val="both"/>
        <w:rPr/>
      </w:pPr>
      <w:r>
        <w:rPr>
          <w:color w:val="000000"/>
          <w:sz w:val="22"/>
          <w:szCs w:val="22"/>
        </w:rPr>
        <w:t>8.5 Em hipótese alguma, será admitido que a própria CONTRATADA materialize a avaliação de desempenho e a qualidade da prestação dos serviços realizados.</w:t>
      </w:r>
    </w:p>
    <w:p>
      <w:pPr>
        <w:pStyle w:val="Normal"/>
        <w:keepNext w:val="true"/>
        <w:keepLines/>
        <w:widowControl/>
        <w:suppressAutoHyphens w:val="true"/>
        <w:bidi w:val="0"/>
        <w:spacing w:lineRule="auto" w:line="276" w:before="120" w:after="0"/>
        <w:ind w:left="0" w:right="0" w:hanging="0"/>
        <w:jc w:val="both"/>
        <w:rPr/>
      </w:pPr>
      <w:r>
        <w:rPr>
          <w:color w:val="000000"/>
          <w:sz w:val="22"/>
          <w:szCs w:val="22"/>
        </w:rPr>
        <w:t>8.6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0" w:right="0" w:hanging="0"/>
        <w:jc w:val="both"/>
        <w:rPr/>
      </w:pPr>
      <w:r>
        <w:rPr>
          <w:color w:val="000000"/>
          <w:sz w:val="22"/>
          <w:szCs w:val="22"/>
        </w:rPr>
        <w:t>8.7 Na hipótese de comportamento contínuo de desconformidade da prestação dos serviços em relação à qualidade exigida, bem como quando esta ultrapassar os níveis mínimos toleráveis previstos nos indicadores, além dos fatores redutores devem ser aplicadas as sanções à CONTRATADA, se de acordo com as regras previstas no ato convocatório.</w:t>
      </w:r>
    </w:p>
    <w:p>
      <w:pPr>
        <w:pStyle w:val="Normal"/>
        <w:keepNext w:val="true"/>
        <w:keepLines/>
        <w:widowControl/>
        <w:suppressAutoHyphens w:val="true"/>
        <w:bidi w:val="0"/>
        <w:spacing w:lineRule="auto" w:line="276" w:before="120" w:after="0"/>
        <w:ind w:left="0" w:right="0" w:hanging="0"/>
        <w:jc w:val="both"/>
        <w:rPr/>
      </w:pPr>
      <w:r>
        <w:rPr>
          <w:color w:val="000000"/>
          <w:sz w:val="22"/>
          <w:szCs w:val="22"/>
        </w:rPr>
        <w:t>8.8 As ocorrências acerca da execução contratual serão registradas durante toda a vigência da prestação dos serviços, cabendo ao gestor e aos fiscais a adoção de providências necessárias ao fiel cumprimento das cláusulas contratuais.</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57" w:right="0" w:hanging="0"/>
        <w:jc w:val="both"/>
        <w:rPr/>
      </w:pPr>
      <w:r>
        <w:rPr>
          <w:color w:val="000000"/>
          <w:sz w:val="22"/>
          <w:szCs w:val="22"/>
        </w:rPr>
        <w:t>8.9 Quando da prestação dos serviços, o Fiscal Técnico realizará o relatório de Fiscalização, em consonância com suas atribuições, contendo registro, análise e conclusão, acerca das ocorrências verificadas na execução do Contrato. O relatório deverá ser encaminhado ao Gestor do Contrato após a execução dos serviços, juntamente com o Instrumento de Medição de Resultado (IMR), conforme modelo ANEXO I/E deste Termo.</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0" w:right="0" w:hanging="0"/>
        <w:jc w:val="both"/>
        <w:rPr/>
      </w:pPr>
      <w:r>
        <w:rPr>
          <w:color w:val="000000"/>
          <w:sz w:val="22"/>
          <w:szCs w:val="22"/>
        </w:rPr>
        <w:t>8.10 O Gestor do Contrato analisará o relatório da fiscalização e o IMR, solicitando as correções necessárias à CONTRATADA, se necessário, e comunicando-a sobre o nível de satisfação sobre os serviços prestados. Esse instrumento de avaliação servirá de base para justificar a realização de novos serviços, assim como poderá nortear a aplicação de penalidades previstas no item 19 deste Termo.</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0" w:right="0" w:hanging="0"/>
        <w:jc w:val="both"/>
        <w:rPr/>
      </w:pPr>
      <w:r>
        <w:rPr>
          <w:color w:val="000000"/>
          <w:sz w:val="22"/>
          <w:szCs w:val="22"/>
        </w:rPr>
        <w:t>8.11 A Contratante utilizará formulário próprio como meio de análise, conforme Instrumento de Medição de Resultado (IMR), em consonância com as diretrizes da IN SEGES/MP n. 05/2017, para definir e padronizar a avaliação da qualidade dos serviços prestados pela Contratada.</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0" w:right="0" w:hanging="0"/>
        <w:jc w:val="both"/>
        <w:rPr/>
      </w:pPr>
      <w:r>
        <w:rPr>
          <w:color w:val="000000"/>
          <w:sz w:val="22"/>
          <w:szCs w:val="22"/>
        </w:rPr>
        <w:t>8.12 O IMR vinculará o pagamento dos serviços aos resultados alcançados em complemento à mensuração dos serviços efetivamente prestados, não devendo as adequações de pagamento, originadas pelo descumprimento do IMR ser interpretadas como penalidades ou multas.</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0" w:right="0" w:hanging="0"/>
        <w:jc w:val="both"/>
        <w:rPr/>
      </w:pPr>
      <w:r>
        <w:rPr>
          <w:color w:val="000000"/>
          <w:sz w:val="22"/>
          <w:szCs w:val="22"/>
        </w:rPr>
        <w:t>8.13 O valor pago mensalmente será ajustado ao resultado da avaliação do serviço por meio do Instrumento de Medição de Resultado, anexo indissociável do contrato.</w:t>
      </w:r>
    </w:p>
    <w:p>
      <w:pPr>
        <w:pStyle w:val="Normal"/>
        <w:keepNext w:val="true"/>
        <w:keepLines/>
        <w:spacing w:lineRule="auto" w:line="276"/>
        <w:ind w:left="644" w:hanging="0"/>
        <w:jc w:val="both"/>
        <w:rPr>
          <w:color w:val="000000"/>
          <w:sz w:val="22"/>
          <w:szCs w:val="22"/>
        </w:rPr>
      </w:pPr>
      <w:r>
        <w:rPr>
          <w:color w:val="000000"/>
          <w:sz w:val="22"/>
          <w:szCs w:val="22"/>
        </w:rPr>
      </w:r>
    </w:p>
    <w:p>
      <w:pPr>
        <w:pStyle w:val="Normal"/>
        <w:keepNext w:val="true"/>
        <w:keepLines/>
        <w:widowControl/>
        <w:suppressAutoHyphens w:val="true"/>
        <w:bidi w:val="0"/>
        <w:spacing w:lineRule="auto" w:line="276" w:before="0" w:after="0"/>
        <w:ind w:left="567" w:right="0" w:hanging="0"/>
        <w:jc w:val="both"/>
        <w:rPr/>
      </w:pPr>
      <w:r>
        <w:rPr>
          <w:color w:val="000000"/>
          <w:sz w:val="22"/>
          <w:szCs w:val="22"/>
        </w:rPr>
        <w:t>8.13.1 O procedimento de avaliação dos serviços será realizado periodicamente pelos fiscais do contrato, com base em pontuações atribuídas a cada item conforme especificações constantes no IMR, Anexo I-E deste Termo de Referência, gerando relatórios mensais de prestação de serviços executados.</w:t>
      </w:r>
    </w:p>
    <w:p>
      <w:pPr>
        <w:pStyle w:val="Normal"/>
        <w:keepNext w:val="true"/>
        <w:keepLines/>
        <w:widowControl/>
        <w:suppressAutoHyphens w:val="true"/>
        <w:bidi w:val="0"/>
        <w:spacing w:lineRule="auto" w:line="276" w:before="120" w:after="120"/>
        <w:ind w:left="567" w:right="0" w:hanging="0"/>
        <w:jc w:val="both"/>
        <w:rPr/>
      </w:pPr>
      <w:r>
        <w:rPr>
          <w:color w:val="000000"/>
          <w:sz w:val="22"/>
          <w:szCs w:val="22"/>
        </w:rPr>
        <w:t>8.13.2 Apurado o número de não cumprimento do IMR, conforme Tabela do Anexo I-E, na fatura do mês da formalização, o Contratante providenciará glosa.</w:t>
      </w:r>
    </w:p>
    <w:p>
      <w:pPr>
        <w:pStyle w:val="Normal"/>
        <w:keepNext w:val="true"/>
        <w:keepLines/>
        <w:widowControl/>
        <w:suppressAutoHyphens w:val="true"/>
        <w:bidi w:val="0"/>
        <w:spacing w:lineRule="auto" w:line="276" w:before="120" w:after="120"/>
        <w:ind w:left="567" w:right="0" w:hanging="0"/>
        <w:jc w:val="both"/>
        <w:rPr>
          <w:color w:val="000000"/>
          <w:sz w:val="22"/>
          <w:szCs w:val="22"/>
        </w:rPr>
      </w:pPr>
      <w:r>
        <w:rPr>
          <w:color w:val="000000"/>
          <w:sz w:val="22"/>
          <w:szCs w:val="22"/>
        </w:rPr>
        <w:t>8.13.3 O Contratante notificará a Contratada quanto à formalização mencionada no subitem anterior, até o 5° (quinto) dia útil imediatamente posterior ao da formalização.</w:t>
      </w:r>
    </w:p>
    <w:p>
      <w:pPr>
        <w:pStyle w:val="Normal"/>
        <w:keepNext w:val="true"/>
        <w:keepLines/>
        <w:widowControl/>
        <w:suppressAutoHyphens w:val="true"/>
        <w:bidi w:val="0"/>
        <w:spacing w:lineRule="auto" w:line="276" w:before="120" w:after="120"/>
        <w:ind w:left="567" w:right="0" w:hanging="0"/>
        <w:jc w:val="both"/>
        <w:rPr>
          <w:color w:val="000000"/>
          <w:sz w:val="22"/>
          <w:szCs w:val="22"/>
        </w:rPr>
      </w:pPr>
      <w:r>
        <w:rPr>
          <w:color w:val="000000"/>
          <w:sz w:val="22"/>
          <w:szCs w:val="22"/>
        </w:rPr>
        <w:t>8.13.4 A Contratada, terá 3 dias úteis, antes do pagamento da fatura do último mês do período avaliativo, para apresentar recurso quantos aos apontamentos do IMR, sob pena de rescisão.</w:t>
      </w:r>
    </w:p>
    <w:p>
      <w:pPr>
        <w:pStyle w:val="Normal"/>
        <w:keepNext w:val="true"/>
        <w:keepLines/>
        <w:widowControl/>
        <w:suppressAutoHyphens w:val="true"/>
        <w:bidi w:val="0"/>
        <w:spacing w:lineRule="auto" w:line="276" w:before="120" w:after="120"/>
        <w:ind w:left="567" w:right="0" w:hanging="0"/>
        <w:jc w:val="both"/>
        <w:rPr>
          <w:color w:val="000000"/>
          <w:sz w:val="22"/>
          <w:szCs w:val="22"/>
        </w:rPr>
      </w:pPr>
      <w:r>
        <w:rPr>
          <w:color w:val="000000"/>
          <w:sz w:val="22"/>
          <w:szCs w:val="22"/>
        </w:rPr>
        <w:t>8.13.5 Caso seja verificado em um dos períodos trimestrais avaliativos realizados durante a vigência deste Contrato a existência de mais de 13 ocorrências, inclusive, poderá o Contratante, a seu exclusivo critério, rescindir o Contrato.</w:t>
      </w:r>
    </w:p>
    <w:p>
      <w:pPr>
        <w:pStyle w:val="Normal"/>
        <w:keepNext w:val="true"/>
        <w:keepLines/>
        <w:widowControl/>
        <w:suppressAutoHyphens w:val="true"/>
        <w:bidi w:val="0"/>
        <w:spacing w:lineRule="auto" w:line="276" w:before="120" w:after="120"/>
        <w:ind w:left="567" w:right="0" w:hanging="0"/>
        <w:jc w:val="both"/>
        <w:rPr>
          <w:color w:val="000000"/>
          <w:sz w:val="22"/>
          <w:szCs w:val="22"/>
        </w:rPr>
      </w:pPr>
      <w:r>
        <w:rPr>
          <w:color w:val="000000"/>
          <w:sz w:val="22"/>
          <w:szCs w:val="22"/>
        </w:rPr>
        <w:t>8.13.6 Os pagamentos deverão ser proporcionais ao atendimento das metas estabelecidas no IMR.</w:t>
      </w:r>
    </w:p>
    <w:p>
      <w:pPr>
        <w:pStyle w:val="Normal"/>
        <w:keepNext w:val="true"/>
        <w:keepLines/>
        <w:spacing w:lineRule="auto" w:line="276"/>
        <w:jc w:val="both"/>
        <w:rPr>
          <w:i/>
          <w:i/>
          <w:color w:val="FF0000"/>
          <w:sz w:val="22"/>
          <w:szCs w:val="22"/>
        </w:rPr>
      </w:pPr>
      <w:r>
        <w:rPr>
          <w:color w:val="000000"/>
          <w:sz w:val="22"/>
          <w:szCs w:val="22"/>
        </w:rPr>
        <w:t>8.14 O encaminhamento de solicitações se dará através de ordens de serviço emitidas pelo fiscal técnico, e poderão ser controladas através de e-mail ou por meio de ferramenta de gerenciamento de projeto.</w:t>
      </w:r>
    </w:p>
    <w:p>
      <w:pPr>
        <w:pStyle w:val="Normal"/>
        <w:keepNext w:val="true"/>
        <w:keepLines/>
        <w:widowControl/>
        <w:numPr>
          <w:ilvl w:val="0"/>
          <w:numId w:val="6"/>
        </w:numPr>
        <w:suppressAutoHyphens w:val="true"/>
        <w:bidi w:val="0"/>
        <w:spacing w:lineRule="auto" w:line="276" w:before="480" w:after="0"/>
        <w:ind w:left="0" w:right="0" w:hanging="0"/>
        <w:jc w:val="both"/>
        <w:rPr/>
      </w:pPr>
      <w:r>
        <w:rPr>
          <w:b/>
          <w:i/>
          <w:color w:val="000000"/>
          <w:sz w:val="22"/>
          <w:szCs w:val="22"/>
        </w:rPr>
        <w:t>INFORMAÇÕES RELEVANTES PARA O DIMENSIONAMENTO DA PROPOSTA</w:t>
      </w:r>
    </w:p>
    <w:p>
      <w:pPr>
        <w:pStyle w:val="Normal"/>
        <w:widowControl/>
        <w:suppressAutoHyphens w:val="true"/>
        <w:bidi w:val="0"/>
        <w:spacing w:lineRule="auto" w:line="276" w:before="120" w:after="120"/>
        <w:ind w:left="0" w:right="0" w:hanging="0"/>
        <w:jc w:val="both"/>
        <w:rPr>
          <w:sz w:val="22"/>
          <w:szCs w:val="22"/>
        </w:rPr>
      </w:pPr>
      <w:r>
        <w:rPr>
          <w:sz w:val="22"/>
          <w:szCs w:val="22"/>
        </w:rPr>
        <w:t>9.1 Os serviços deverão ser executados dentro da rotina e dos parâmetros estabelecidos, com a prestação dos serviços objeto deste Termo de Referência e, ainda, em observância às recomendações aceitas pela boa técnica, normas e legislação aplicável.</w:t>
      </w:r>
    </w:p>
    <w:p>
      <w:pPr>
        <w:pStyle w:val="Normal"/>
        <w:widowControl/>
        <w:suppressAutoHyphens w:val="true"/>
        <w:bidi w:val="0"/>
        <w:spacing w:lineRule="auto" w:line="276" w:before="120" w:after="120"/>
        <w:ind w:left="0" w:right="0" w:hanging="0"/>
        <w:jc w:val="both"/>
        <w:rPr>
          <w:sz w:val="22"/>
          <w:szCs w:val="22"/>
        </w:rPr>
      </w:pPr>
      <w:r>
        <w:rPr>
          <w:sz w:val="22"/>
          <w:szCs w:val="22"/>
        </w:rPr>
        <w:t>9.2 A prestação dos serviços dar-se-á durante 24 (vinte e quatro) horas por dia, 07(sete) dias por semana, via web.</w:t>
      </w:r>
    </w:p>
    <w:p>
      <w:pPr>
        <w:pStyle w:val="Normal"/>
        <w:widowControl/>
        <w:suppressAutoHyphens w:val="true"/>
        <w:bidi w:val="0"/>
        <w:spacing w:lineRule="auto" w:line="276" w:before="120" w:after="120"/>
        <w:ind w:left="0" w:right="0" w:hanging="0"/>
        <w:jc w:val="both"/>
        <w:rPr>
          <w:sz w:val="22"/>
          <w:szCs w:val="22"/>
        </w:rPr>
      </w:pPr>
      <w:r>
        <w:rPr>
          <w:sz w:val="22"/>
          <w:szCs w:val="22"/>
        </w:rPr>
        <w:t>9.3 Os serviços deverão ser executados por empresa especializada no fornecimento de combustíveis e manutenção que atendam às especificações contidas neste Termo de Referência.</w:t>
      </w:r>
    </w:p>
    <w:p>
      <w:pPr>
        <w:pStyle w:val="Normal"/>
        <w:widowControl/>
        <w:suppressAutoHyphens w:val="true"/>
        <w:bidi w:val="0"/>
        <w:spacing w:lineRule="auto" w:line="276" w:before="120" w:after="120"/>
        <w:ind w:left="0" w:right="0" w:hanging="0"/>
        <w:jc w:val="both"/>
        <w:rPr>
          <w:sz w:val="22"/>
          <w:szCs w:val="22"/>
          <w:highlight w:val="white"/>
        </w:rPr>
      </w:pPr>
      <w:r>
        <w:rPr>
          <w:sz w:val="22"/>
          <w:szCs w:val="22"/>
          <w:highlight w:val="white"/>
        </w:rPr>
        <w:t xml:space="preserve">9.4 A licitante vencedora será aquela que apresentar o MAIOR DESCONTO para os </w:t>
      </w:r>
      <w:r>
        <w:rPr>
          <w:b/>
          <w:sz w:val="22"/>
          <w:szCs w:val="22"/>
          <w:highlight w:val="white"/>
        </w:rPr>
        <w:t>itens de cada grupo</w:t>
      </w:r>
      <w:r>
        <w:rPr>
          <w:sz w:val="22"/>
          <w:szCs w:val="22"/>
          <w:highlight w:val="white"/>
        </w:rPr>
        <w:t xml:space="preserve"> </w:t>
      </w:r>
      <w:r>
        <w:rPr>
          <w:b/>
          <w:sz w:val="22"/>
          <w:szCs w:val="22"/>
          <w:highlight w:val="white"/>
        </w:rPr>
        <w:t>(administração, gerenciamento e controle de abastecimento, manutenção e taxa de administração)</w:t>
      </w:r>
      <w:r>
        <w:rPr>
          <w:sz w:val="22"/>
          <w:szCs w:val="22"/>
          <w:highlight w:val="white"/>
        </w:rPr>
        <w:t>, sagrando-se vencedora aquela que obtiver a melhor proposta no somatório total do grupo.</w:t>
      </w:r>
    </w:p>
    <w:p>
      <w:pPr>
        <w:pStyle w:val="Normal"/>
        <w:widowControl/>
        <w:suppressAutoHyphens w:val="true"/>
        <w:bidi w:val="0"/>
        <w:spacing w:lineRule="auto" w:line="276" w:before="120" w:after="120"/>
        <w:ind w:left="567" w:right="0" w:hanging="0"/>
        <w:jc w:val="both"/>
        <w:rPr>
          <w:sz w:val="22"/>
          <w:szCs w:val="22"/>
          <w:highlight w:val="white"/>
        </w:rPr>
      </w:pPr>
      <w:r>
        <w:rPr>
          <w:sz w:val="22"/>
          <w:szCs w:val="22"/>
          <w:highlight w:val="white"/>
        </w:rPr>
        <w:t>9.4.1 Definida a proposta ou lance vencedor o Pregoeiro irá registrar como valor negociado para os itens o valor total estimado para cada item, de modo que o empenho para esses itens aproveite a totalidade do recurso orçamentário disponível.</w:t>
      </w:r>
    </w:p>
    <w:p>
      <w:pPr>
        <w:pStyle w:val="Normal"/>
        <w:widowControl/>
        <w:suppressAutoHyphens w:val="true"/>
        <w:bidi w:val="0"/>
        <w:spacing w:lineRule="auto" w:line="276" w:before="120" w:after="120"/>
        <w:ind w:left="567" w:right="0" w:hanging="0"/>
        <w:jc w:val="both"/>
        <w:rPr>
          <w:sz w:val="22"/>
          <w:szCs w:val="22"/>
          <w:highlight w:val="white"/>
        </w:rPr>
      </w:pPr>
      <w:r>
        <w:rPr>
          <w:sz w:val="22"/>
          <w:szCs w:val="22"/>
          <w:highlight w:val="white"/>
        </w:rPr>
        <w:t>9.4.2 Os percentuais de descontos ofertados quanto aos itens de cada grupo</w:t>
      </w:r>
      <w:r>
        <w:rPr>
          <w:b/>
          <w:sz w:val="22"/>
          <w:szCs w:val="22"/>
          <w:highlight w:val="white"/>
        </w:rPr>
        <w:t xml:space="preserve"> referente aos serviços de administração, gerenciamento e controle de abastecimento e manutenção </w:t>
      </w:r>
      <w:r>
        <w:rPr>
          <w:sz w:val="22"/>
          <w:szCs w:val="22"/>
          <w:highlight w:val="white"/>
        </w:rPr>
        <w:t>deverão ser aplicados durante a execução do contrato sobre o valor dos serviços e fornecimentos realizados pela rede credenciada/conveniada pela contratada e enquanto o percentual de desconto da taxa de administração será aplicado sobre o valor da fatura/nota fiscal emitida em cada serviço executado.</w:t>
      </w:r>
    </w:p>
    <w:p>
      <w:pPr>
        <w:pStyle w:val="Normal"/>
        <w:widowControl/>
        <w:suppressAutoHyphens w:val="true"/>
        <w:bidi w:val="0"/>
        <w:spacing w:lineRule="auto" w:line="276" w:before="120" w:after="120"/>
        <w:ind w:left="0" w:right="0" w:hanging="0"/>
        <w:jc w:val="both"/>
        <w:rPr/>
      </w:pPr>
      <w:r>
        <w:rPr>
          <w:sz w:val="22"/>
          <w:szCs w:val="22"/>
          <w:highlight w:val="white"/>
        </w:rPr>
        <w:t>9.5 Na proposta de preços deverão estar incluso</w:t>
      </w:r>
      <w:r>
        <w:rPr>
          <w:sz w:val="22"/>
          <w:szCs w:val="22"/>
        </w:rPr>
        <w:t>s todos os custos necessários ao pagamento das despesas dos credenciados, como salários, encargos sociais, fiscais e comerciais, impostos, taxas, seguros e demais encargos relativos aos serviços e deduzidos os abatimentos eventualmente concedidos.</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OBRIGAÇÕES DA CONTRATANTE</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Exigir o cumprimento de todas as obrigações assumidas pela Contratada, de acordo com as cláusulas contratuais e os termos de sua proposta;</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Pagar à Contratada o valor resultante da prestação do serviço, no prazo e condições estabelecidas neste Termo de Referência;</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Efetuar as retenções tributárias devidas sobre o valor da Nota Fiscal/Fatura da contratada, no que couber, em conformidade com o item 6 do Anexo XI da IN SEGES/MP n. 5/2017.</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Não praticar atos de ingerência na administração da Contratada, tais como:</w:t>
      </w:r>
    </w:p>
    <w:p>
      <w:pPr>
        <w:pStyle w:val="Normal"/>
        <w:widowControl/>
        <w:numPr>
          <w:ilvl w:val="2"/>
          <w:numId w:val="6"/>
        </w:numPr>
        <w:suppressAutoHyphens w:val="true"/>
        <w:bidi w:val="0"/>
        <w:spacing w:lineRule="auto" w:line="276" w:before="120" w:after="0"/>
        <w:ind w:left="624" w:right="0" w:hanging="0"/>
        <w:jc w:val="both"/>
        <w:rPr>
          <w:color w:val="000000"/>
          <w:sz w:val="22"/>
          <w:szCs w:val="22"/>
        </w:rPr>
      </w:pPr>
      <w:r>
        <w:rPr>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Normal"/>
        <w:widowControl/>
        <w:numPr>
          <w:ilvl w:val="2"/>
          <w:numId w:val="6"/>
        </w:numPr>
        <w:suppressAutoHyphens w:val="true"/>
        <w:bidi w:val="0"/>
        <w:spacing w:lineRule="auto" w:line="276"/>
        <w:ind w:left="624" w:right="0" w:hanging="0"/>
        <w:jc w:val="both"/>
        <w:rPr>
          <w:color w:val="000000"/>
          <w:sz w:val="22"/>
          <w:szCs w:val="22"/>
        </w:rPr>
      </w:pPr>
      <w:r>
        <w:rPr>
          <w:color w:val="000000"/>
          <w:sz w:val="22"/>
          <w:szCs w:val="22"/>
        </w:rPr>
        <w:t>direcionar a contratação de pessoas para trabalhar nas empresas Contratadas;</w:t>
      </w:r>
    </w:p>
    <w:p>
      <w:pPr>
        <w:pStyle w:val="Normal"/>
        <w:widowControl/>
        <w:numPr>
          <w:ilvl w:val="2"/>
          <w:numId w:val="6"/>
        </w:numPr>
        <w:suppressAutoHyphens w:val="true"/>
        <w:bidi w:val="0"/>
        <w:spacing w:lineRule="auto" w:line="276" w:before="0" w:after="120"/>
        <w:ind w:left="624" w:right="0" w:hanging="0"/>
        <w:jc w:val="both"/>
        <w:rPr>
          <w:color w:val="000000"/>
          <w:sz w:val="22"/>
          <w:szCs w:val="22"/>
        </w:rPr>
      </w:pPr>
      <w:r>
        <w:rPr>
          <w:color w:val="000000"/>
          <w:sz w:val="22"/>
          <w:szCs w:val="22"/>
        </w:rPr>
        <w:t>considerar os trabalhadores da Contratada como colaboradores eventuais do próprio órgão ou entidade responsável pela contratação, especialmente para efeito de concessão de diárias e passagens.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Fornecer por escrito as informações necessárias para o desenvolvimento dos serviços objeto </w:t>
      </w:r>
      <w:r>
        <w:rPr>
          <w:color w:val="000000"/>
          <w:sz w:val="22"/>
          <w:szCs w:val="22"/>
        </w:rPr>
        <w:t>do contrato;</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Realizar avaliações periódicas da qualidade dos serviços, após seu recebimento;</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 xml:space="preserve">Cientificar o órgão de representação judicial da Advocacia-Geral da União para adoção das medidas cabíveis quando do descumprimento das obrigações pela Contratada; </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Arquivar, entre outros documentos, projetos, "as built", especificações técnicas, orçamentos, termos de recebimento, contratos e aditamentos, relatórios de inspeções técnicas após o recebimento do serviço e notificações expedidas;</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Fiscalizar o cumprimento dos requisitos legais, quando a contratada houver se beneficiado da preferência estabelecida pelo art. 3º, § 5º, da Lei nº 8.666, de 1993.</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OBRIGAÇÕES DA CONTRATADA</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Utilizar empregados habilitados e com conhecimentos básicos dos serviços a serem executados, em conformidade com as normas e determinações em vigor;</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Pr>
          <w:sz w:val="22"/>
          <w:szCs w:val="22"/>
        </w:rPr>
        <w:t xml:space="preserve">perante a Fazenda Municipal ou Distrital do domicílio ou sede do contratado; 4) Certidão de Regularidade do FGTS – CRF; e 5) Certidão Negativa de Débitos Trabalhistas – CNDT, conforme alínea "c" do item 10.2 do Anexo VIII-B da IN SEGES/MP n. 5/2017; </w:t>
        <w:tab/>
      </w:r>
    </w:p>
    <w:p>
      <w:pPr>
        <w:pStyle w:val="Normal"/>
        <w:widowControl/>
        <w:numPr>
          <w:ilvl w:val="1"/>
          <w:numId w:val="6"/>
        </w:numPr>
        <w:suppressAutoHyphens w:val="true"/>
        <w:bidi w:val="0"/>
        <w:spacing w:lineRule="auto" w:line="276" w:before="120" w:after="120"/>
        <w:ind w:left="0" w:right="0" w:hanging="0"/>
        <w:jc w:val="both"/>
        <w:rPr/>
      </w:pPr>
      <w:r>
        <w:rPr>
          <w:sz w:val="22"/>
          <w:szCs w:val="22"/>
        </w:rPr>
        <w:t xml:space="preserve">Comunicar ao Fiscal do contrato, no prazo de 24 (vinte e quatro) horas, qualquer ocorrência anormal ou </w:t>
      </w:r>
      <w:r>
        <w:rPr>
          <w:color w:val="000000"/>
          <w:sz w:val="22"/>
          <w:szCs w:val="22"/>
        </w:rPr>
        <w:t>acidente</w:t>
      </w:r>
      <w:r>
        <w:rPr>
          <w:sz w:val="22"/>
          <w:szCs w:val="22"/>
        </w:rPr>
        <w:t xml:space="preserve"> que se verifique no local dos serviços.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Prestar todo esclarecimento ou informação solicitada pela Contratante ou por seus prepostos, garantindo-lhes o acesso, a qualquer tempo, ao local dos trabalhos, bem como aos documentos relativos à execução do empreendimento.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Paralisar, por determinação da Contratante, qualquer atividade que não esteja sendo executada de acordo com a boa técnica ou que ponha em risco a segurança de pessoas ou bens de terceiros.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Promover a guarda, manutenção e vigilância de materiais, ferramentas, e tudo o que for necessário à execução dos serviços, durante a vigência do contrato.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Promover a organização técnica e administrativa dos serviços, de modo a conduzi-los eficaz e eficientemente, de acordo com os documentos e especificações que integram este Termo de Referência, no prazo determinado.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r>
        <w:rPr>
          <w:b/>
          <w:color w:val="FF0000"/>
          <w:sz w:val="22"/>
          <w:szCs w:val="22"/>
          <w:u w:val="single"/>
        </w:rPr>
        <w:t xml:space="preserve">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Submeter previamente, por escrito, à Contratante, para análise e aprovação, quaisquer mudanças nos métodos executivos que fujam às especificações do memorial descritivo.</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 xml:space="preserve"> </w:t>
      </w:r>
      <w:r>
        <w:rPr>
          <w:color w:val="000000"/>
          <w:sz w:val="22"/>
          <w:szCs w:val="22"/>
        </w:rPr>
        <w:t>Manter durante toda a vigência do contrato, em compatibilidade com as obrigações assumidas, todas as condições de habilitação e qualificação exigidas na licitação;</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color w:val="000000"/>
          <w:sz w:val="22"/>
          <w:szCs w:val="22"/>
        </w:rPr>
        <w:t>.</w:t>
      </w:r>
      <w:r>
        <w:rPr>
          <w:color w:val="FF0000"/>
          <w:sz w:val="22"/>
          <w:szCs w:val="22"/>
        </w:rPr>
        <w:t xml:space="preserve"> </w:t>
      </w:r>
    </w:p>
    <w:p>
      <w:pPr>
        <w:pStyle w:val="Normal"/>
        <w:widowControl/>
        <w:numPr>
          <w:ilvl w:val="1"/>
          <w:numId w:val="6"/>
        </w:numPr>
        <w:suppressAutoHyphens w:val="true"/>
        <w:bidi w:val="0"/>
        <w:spacing w:lineRule="auto" w:line="276" w:before="120" w:after="120"/>
        <w:ind w:left="57" w:right="0" w:hanging="0"/>
        <w:jc w:val="both"/>
        <w:rPr>
          <w:sz w:val="22"/>
          <w:szCs w:val="22"/>
        </w:rPr>
      </w:pPr>
      <w:r>
        <w:rPr>
          <w:color w:val="000000"/>
          <w:sz w:val="22"/>
          <w:szCs w:val="22"/>
        </w:rPr>
        <w:t>Guardar sigilo sobre todas as informações obtidas em decorrência do cumprimento do contrato;</w:t>
      </w:r>
    </w:p>
    <w:p>
      <w:pPr>
        <w:pStyle w:val="Normal"/>
        <w:widowControl/>
        <w:numPr>
          <w:ilvl w:val="1"/>
          <w:numId w:val="6"/>
        </w:numPr>
        <w:suppressAutoHyphens w:val="true"/>
        <w:bidi w:val="0"/>
        <w:spacing w:lineRule="auto" w:line="276" w:before="120" w:after="120"/>
        <w:ind w:left="57" w:right="0" w:hanging="0"/>
        <w:jc w:val="both"/>
        <w:rPr>
          <w:sz w:val="22"/>
          <w:szCs w:val="22"/>
        </w:rPr>
      </w:pPr>
      <w:r>
        <w:rPr>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widowControl/>
        <w:numPr>
          <w:ilvl w:val="1"/>
          <w:numId w:val="6"/>
        </w:numPr>
        <w:suppressAutoHyphens w:val="true"/>
        <w:bidi w:val="0"/>
        <w:spacing w:lineRule="auto" w:line="276" w:before="120" w:after="120"/>
        <w:ind w:left="57" w:right="0" w:hanging="0"/>
        <w:jc w:val="both"/>
        <w:rPr>
          <w:sz w:val="22"/>
          <w:szCs w:val="22"/>
        </w:rPr>
      </w:pPr>
      <w:r>
        <w:rPr>
          <w:sz w:val="22"/>
          <w:szCs w:val="22"/>
        </w:rPr>
        <w:t>Cumprir, além dos postulados legais vigentes de âmbito federal, estadual ou municipal, as normas de segurança da Contratante;</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Assegurar à CONTRATANTE, em conformidade com o previsto no subitem 6.1, “a”e “b”, do Anexo VII – F da Instrução Normativa SEGES/MP nº 5, de 25/05/2017:</w:t>
      </w:r>
    </w:p>
    <w:p>
      <w:pPr>
        <w:pStyle w:val="Normal"/>
        <w:widowControl/>
        <w:numPr>
          <w:ilvl w:val="2"/>
          <w:numId w:val="6"/>
        </w:numPr>
        <w:suppressAutoHyphens w:val="true"/>
        <w:bidi w:val="0"/>
        <w:spacing w:lineRule="auto" w:line="276" w:before="120" w:after="120"/>
        <w:ind w:left="567" w:right="0" w:hanging="0"/>
        <w:jc w:val="both"/>
        <w:rPr>
          <w:sz w:val="22"/>
          <w:szCs w:val="22"/>
        </w:rPr>
      </w:pPr>
      <w:r>
        <w:rPr>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widowControl/>
        <w:numPr>
          <w:ilvl w:val="2"/>
          <w:numId w:val="6"/>
        </w:numPr>
        <w:suppressAutoHyphens w:val="true"/>
        <w:bidi w:val="0"/>
        <w:spacing w:lineRule="auto" w:line="276" w:before="120" w:after="120"/>
        <w:ind w:left="567" w:right="0" w:hanging="0"/>
        <w:jc w:val="both"/>
        <w:rPr>
          <w:sz w:val="22"/>
          <w:szCs w:val="22"/>
        </w:rPr>
      </w:pPr>
      <w:r>
        <w:rPr>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Normal"/>
        <w:widowControl/>
        <w:numPr>
          <w:ilvl w:val="1"/>
          <w:numId w:val="6"/>
        </w:numPr>
        <w:suppressAutoHyphens w:val="true"/>
        <w:bidi w:val="0"/>
        <w:spacing w:lineRule="auto" w:line="276" w:before="120" w:after="120"/>
        <w:ind w:left="0" w:right="0" w:hanging="0"/>
        <w:jc w:val="both"/>
        <w:rPr/>
      </w:pPr>
      <w:r>
        <w:rPr>
          <w:sz w:val="22"/>
          <w:szCs w:val="22"/>
        </w:rPr>
        <w:t>Fornecer, sem ônus ao Contratante, a licença de uso de software que viabilize o gerenciamento do cadastro dos bens e das despesas com abastecimentos demandados pelo Contratante e responsabilizar-se pela produção do sistema em questão, incluindo, mas não se limitando, aos equipamentos servidores, hospedagem das aplicações do sistema em site próprio, manutenção das bases de dados, procedimentos de instalação, migração, backup, recuperação, segurança, treinamento a usuários finais, ambiente e softwares operacionais, e quaisquer outras atividades, hardwares ou serviços necessários à operação e produção plena do sistema com todas as suas funcionalidades previstas.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Disponibilizar, sem ônus ao Contratante, as atualizações das funcionalidades do software.</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Disponibilizar e facultar ao fiscal do contrato, o acesso às informações do sistema, inclusive para a extração, a qualquer tempo, de relatórios referentes aos serviços prestados, discriminados, com os respectivos custos.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 </w:t>
      </w:r>
      <w:r>
        <w:rPr>
          <w:sz w:val="22"/>
          <w:szCs w:val="22"/>
        </w:rPr>
        <w:t>Disponibilizar suporte técnico para o sistema, com atendimento em até 24 horas após a chamada.</w:t>
      </w:r>
    </w:p>
    <w:p>
      <w:pPr>
        <w:pStyle w:val="Normal"/>
        <w:widowControl/>
        <w:numPr>
          <w:ilvl w:val="1"/>
          <w:numId w:val="6"/>
        </w:numPr>
        <w:suppressAutoHyphens w:val="true"/>
        <w:bidi w:val="0"/>
        <w:spacing w:lineRule="auto" w:line="276" w:before="120" w:after="120"/>
        <w:ind w:left="0" w:right="0" w:hanging="0"/>
        <w:jc w:val="both"/>
        <w:rPr>
          <w:sz w:val="22"/>
          <w:szCs w:val="22"/>
        </w:rPr>
      </w:pPr>
      <w:r>
        <w:rPr>
          <w:b/>
          <w:sz w:val="22"/>
          <w:szCs w:val="22"/>
        </w:rPr>
        <w:t xml:space="preserve"> </w:t>
      </w:r>
      <w:r>
        <w:rPr>
          <w:sz w:val="22"/>
          <w:szCs w:val="22"/>
        </w:rPr>
        <w:t>Fornecer manuais de utilização do sistema de gerenciamento e de consolidação de dados em língua portuguesa.</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Instalar e manter os equipamentos e software do sistema, as suas expensas.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Indicar, em cada Nota Fiscal/Fatura emitida, a ser paga, o percentual de desconto aplicado.</w:t>
      </w:r>
    </w:p>
    <w:p>
      <w:pPr>
        <w:pStyle w:val="Normal"/>
        <w:widowControl/>
        <w:numPr>
          <w:ilvl w:val="1"/>
          <w:numId w:val="6"/>
        </w:numPr>
        <w:suppressAutoHyphens w:val="true"/>
        <w:bidi w:val="0"/>
        <w:spacing w:lineRule="auto" w:line="276" w:before="120" w:after="120"/>
        <w:ind w:left="0" w:right="0" w:hanging="0"/>
        <w:jc w:val="both"/>
        <w:rPr/>
      </w:pPr>
      <w:r>
        <w:rPr>
          <w:sz w:val="22"/>
          <w:szCs w:val="22"/>
        </w:rPr>
        <w:t>Reembolsar todos os estabelecimentos que fizerem parte da rede credenciada da Contratada, inexistindo qualquer relação financeira, fiscal e tributária entre estes prestadores de serviços e o Contratante.</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Informar ao Contratante, sempre que houver a inclusão ou a exclusão de postos de abastecimento.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Assegurar que todo combustível faturado tenha sido realmente abastecido nos bens indicados e cadastrados no Patrimônio do Contratante.</w:t>
      </w:r>
    </w:p>
    <w:p>
      <w:pPr>
        <w:pStyle w:val="Normal"/>
        <w:keepNext w:val="true"/>
        <w:keepLines/>
        <w:widowControl/>
        <w:numPr>
          <w:ilvl w:val="0"/>
          <w:numId w:val="6"/>
        </w:numPr>
        <w:suppressAutoHyphens w:val="true"/>
        <w:bidi w:val="0"/>
        <w:spacing w:lineRule="auto" w:line="276" w:before="240" w:after="0"/>
        <w:ind w:left="0" w:right="0" w:hanging="0"/>
        <w:jc w:val="both"/>
        <w:rPr/>
      </w:pPr>
      <w:r>
        <w:rPr>
          <w:b/>
          <w:color w:val="000000"/>
          <w:sz w:val="22"/>
          <w:szCs w:val="22"/>
        </w:rPr>
        <w:t xml:space="preserve">DA SUBCONTRATAÇÃO  </w:t>
      </w:r>
    </w:p>
    <w:p>
      <w:pPr>
        <w:pStyle w:val="Normal"/>
        <w:keepNext w:val="true"/>
        <w:keepLines/>
        <w:widowControl/>
        <w:numPr>
          <w:ilvl w:val="1"/>
          <w:numId w:val="6"/>
        </w:numPr>
        <w:suppressAutoHyphens w:val="true"/>
        <w:bidi w:val="0"/>
        <w:spacing w:lineRule="auto" w:line="276" w:before="240" w:after="120"/>
        <w:ind w:left="0" w:right="0" w:hanging="0"/>
        <w:jc w:val="both"/>
        <w:rPr/>
      </w:pPr>
      <w:r>
        <w:rPr>
          <w:color w:val="000000"/>
          <w:sz w:val="22"/>
          <w:szCs w:val="22"/>
        </w:rPr>
        <w:t>Não será admitida a subcontratação do objeto licitatório.</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ALTERAÇÃO SUBJETIVA</w:t>
      </w:r>
    </w:p>
    <w:p>
      <w:pPr>
        <w:pStyle w:val="Normal"/>
        <w:widowControl/>
        <w:numPr>
          <w:ilvl w:val="1"/>
          <w:numId w:val="6"/>
        </w:numPr>
        <w:suppressAutoHyphens w:val="true"/>
        <w:bidi w:val="0"/>
        <w:spacing w:lineRule="auto" w:line="276" w:before="120" w:after="120"/>
        <w:ind w:left="0" w:right="0" w:hanging="0"/>
        <w:jc w:val="both"/>
        <w:rPr/>
      </w:pPr>
      <w:r>
        <w:rPr>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keepNext w:val="true"/>
        <w:keepLines/>
        <w:widowControl/>
        <w:numPr>
          <w:ilvl w:val="0"/>
          <w:numId w:val="6"/>
        </w:numPr>
        <w:suppressAutoHyphens w:val="true"/>
        <w:bidi w:val="0"/>
        <w:spacing w:lineRule="auto" w:line="276" w:before="360" w:after="120"/>
        <w:ind w:left="0" w:right="0" w:hanging="0"/>
        <w:jc w:val="both"/>
        <w:rPr/>
      </w:pPr>
      <w:r>
        <w:rPr>
          <w:b/>
          <w:color w:val="000000"/>
          <w:sz w:val="22"/>
          <w:szCs w:val="22"/>
        </w:rPr>
        <w:t xml:space="preserve">CONTROLE E FISCALIZAÇÃO DA EXECUÇÃO </w:t>
      </w:r>
    </w:p>
    <w:p>
      <w:pPr>
        <w:pStyle w:val="Normal"/>
        <w:widowControl/>
        <w:numPr>
          <w:ilvl w:val="1"/>
          <w:numId w:val="6"/>
        </w:numPr>
        <w:suppressAutoHyphens w:val="true"/>
        <w:bidi w:val="0"/>
        <w:spacing w:lineRule="auto" w:line="276" w:before="0" w:after="120"/>
        <w:ind w:left="0" w:right="0" w:hanging="0"/>
        <w:jc w:val="both"/>
        <w:rPr>
          <w:sz w:val="22"/>
          <w:szCs w:val="22"/>
        </w:rPr>
      </w:pPr>
      <w:r>
        <w:rPr>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O representante da Contratante deverá ter a qualificação necessária para o acompanhamento e controle da execução dos serviços e do contrato.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 verificação da adequação da prestação do serviço deverá ser realizada com base nos critérios previstos neste Termo de Referência.</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 fiscalização técnica dos contratos avaliará constantemente a execução do objeto e utilizará o Instrumento de Medição de Resultado (IMR), conforme modelo previsto no Anexo I/E deste Termo</w:t>
      </w:r>
      <w:r>
        <w:rPr>
          <w:i/>
          <w:sz w:val="22"/>
          <w:szCs w:val="22"/>
        </w:rPr>
        <w:t>,</w:t>
      </w:r>
      <w:r>
        <w:rPr>
          <w:i/>
          <w:color w:val="FF0000"/>
          <w:sz w:val="22"/>
          <w:szCs w:val="22"/>
        </w:rPr>
        <w:t xml:space="preserve"> </w:t>
      </w:r>
      <w:r>
        <w:rPr>
          <w:sz w:val="22"/>
          <w:szCs w:val="22"/>
        </w:rPr>
        <w:t>para aferição da qualidade da prestação dos serviços, devendo haver o redimensionamento no pagamento com base nos indicadores estabelecidos, sempre que a CONTRATADA:</w:t>
      </w:r>
    </w:p>
    <w:p>
      <w:pPr>
        <w:pStyle w:val="Normal"/>
        <w:widowControl/>
        <w:suppressAutoHyphens w:val="true"/>
        <w:bidi w:val="0"/>
        <w:spacing w:lineRule="auto" w:line="276" w:before="120" w:after="120"/>
        <w:ind w:left="567" w:right="0" w:hanging="0"/>
        <w:jc w:val="both"/>
        <w:rPr>
          <w:sz w:val="22"/>
          <w:szCs w:val="22"/>
        </w:rPr>
      </w:pPr>
      <w:r>
        <w:rPr>
          <w:sz w:val="22"/>
          <w:szCs w:val="22"/>
        </w:rPr>
        <w:t>a) não produzir os resultados, deixar de executar, ou não executar com a qualidade mínima exigida as atividades contratadas; ou</w:t>
      </w:r>
    </w:p>
    <w:p>
      <w:pPr>
        <w:pStyle w:val="Normal"/>
        <w:widowControl/>
        <w:suppressAutoHyphens w:val="true"/>
        <w:bidi w:val="0"/>
        <w:spacing w:lineRule="auto" w:line="276" w:before="120" w:after="120"/>
        <w:ind w:left="567" w:right="0" w:hanging="0"/>
        <w:jc w:val="both"/>
        <w:rPr>
          <w:sz w:val="22"/>
          <w:szCs w:val="22"/>
        </w:rPr>
      </w:pPr>
      <w:r>
        <w:rPr>
          <w:sz w:val="22"/>
          <w:szCs w:val="22"/>
        </w:rPr>
        <w:t>b) deixar de utilizar materiais e recursos humanos exigidos para a execução do serviço, ou utilizá-los com qualidade ou quantidade inferior à demandada.</w:t>
      </w:r>
    </w:p>
    <w:p>
      <w:pPr>
        <w:pStyle w:val="Normal"/>
        <w:widowControl/>
        <w:numPr>
          <w:ilvl w:val="2"/>
          <w:numId w:val="6"/>
        </w:numPr>
        <w:suppressAutoHyphens w:val="true"/>
        <w:bidi w:val="0"/>
        <w:spacing w:lineRule="auto" w:line="276" w:before="120" w:after="120"/>
        <w:ind w:left="567" w:right="0" w:hanging="0"/>
        <w:jc w:val="both"/>
        <w:rPr/>
      </w:pPr>
      <w:r>
        <w:rPr>
          <w:sz w:val="22"/>
          <w:szCs w:val="22"/>
        </w:rPr>
        <w:t>A utilização do IMR não impede a aplicação concomitante de outros mecanismos para a avaliação da prestação dos serviços.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O fiscal técnico deverá apresentar ao preposto da CONTRATADA a avaliação da execução do objeto ou, se for o caso, a avaliação de desempenho e qualidade da prestação dos serviços realizada.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Em hipótese alguma, será admitido que a própria CONTRATADA materialize a avaliação de desempenho e qualidade da prestação dos serviços realizada.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O fiscal técnico poderá realizar avaliação diária, semanal ou mensal, desde que o período escolhido seja suficiente para avaliar ou, se for o caso, aferir o desempenho e qualidade da prestação dos serviços.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 fiscalização da execução dos serviços abrange, ainda, as seguintes rotinas:</w:t>
      </w:r>
    </w:p>
    <w:p>
      <w:pPr>
        <w:pStyle w:val="Normal"/>
        <w:widowControl/>
        <w:suppressAutoHyphens w:val="true"/>
        <w:bidi w:val="0"/>
        <w:spacing w:lineRule="auto" w:line="276" w:before="0" w:after="0"/>
        <w:ind w:left="567" w:right="0" w:hanging="0"/>
        <w:jc w:val="both"/>
        <w:rPr/>
      </w:pPr>
      <w:r>
        <w:rPr>
          <w:b/>
          <w:bCs/>
          <w:color w:val="000000"/>
          <w:sz w:val="22"/>
          <w:szCs w:val="22"/>
        </w:rPr>
        <w:t>1</w:t>
      </w:r>
      <w:r>
        <w:rPr>
          <w:b/>
          <w:bCs/>
          <w:sz w:val="22"/>
          <w:szCs w:val="22"/>
        </w:rPr>
        <w:t>4</w:t>
      </w:r>
      <w:r>
        <w:rPr>
          <w:b/>
          <w:bCs/>
          <w:color w:val="000000"/>
          <w:sz w:val="22"/>
          <w:szCs w:val="22"/>
        </w:rPr>
        <w:t>.16.1</w:t>
      </w:r>
      <w:r>
        <w:rPr>
          <w:bCs/>
          <w:color w:val="000000"/>
          <w:sz w:val="22"/>
          <w:szCs w:val="22"/>
        </w:rPr>
        <w:t xml:space="preserve"> A Contratante designará servidor para acompanhamento e fiscalização da sua execução, que registrará em relatório todas as ocorrências relacionadas com a execução do contrato, determinando o que for necessário à regularização das falhas ou defeitos observados.</w:t>
      </w:r>
    </w:p>
    <w:p>
      <w:pPr>
        <w:pStyle w:val="Normal"/>
        <w:spacing w:lineRule="auto" w:line="276"/>
        <w:ind w:left="1134" w:hanging="0"/>
        <w:jc w:val="both"/>
        <w:rPr>
          <w:bCs/>
          <w:color w:val="000000"/>
          <w:sz w:val="22"/>
          <w:szCs w:val="22"/>
        </w:rPr>
      </w:pPr>
      <w:r>
        <w:rPr>
          <w:bCs/>
          <w:color w:val="000000"/>
          <w:sz w:val="22"/>
          <w:szCs w:val="22"/>
        </w:rPr>
      </w:r>
    </w:p>
    <w:p>
      <w:pPr>
        <w:pStyle w:val="Normal"/>
        <w:widowControl/>
        <w:suppressAutoHyphens w:val="true"/>
        <w:bidi w:val="0"/>
        <w:spacing w:lineRule="auto" w:line="276" w:before="0" w:after="0"/>
        <w:ind w:left="567" w:right="0" w:hanging="0"/>
        <w:jc w:val="both"/>
        <w:rPr/>
      </w:pPr>
      <w:r>
        <w:rPr>
          <w:b/>
          <w:bCs/>
          <w:color w:val="000000"/>
          <w:sz w:val="22"/>
          <w:szCs w:val="22"/>
        </w:rPr>
        <w:t>1</w:t>
      </w:r>
      <w:r>
        <w:rPr>
          <w:b/>
          <w:bCs/>
          <w:sz w:val="22"/>
          <w:szCs w:val="22"/>
        </w:rPr>
        <w:t>4</w:t>
      </w:r>
      <w:r>
        <w:rPr>
          <w:b/>
          <w:bCs/>
          <w:color w:val="000000"/>
          <w:sz w:val="22"/>
          <w:szCs w:val="22"/>
        </w:rPr>
        <w:t>.16.2.</w:t>
      </w:r>
      <w:r>
        <w:rPr>
          <w:bCs/>
          <w:color w:val="000000"/>
          <w:sz w:val="22"/>
          <w:szCs w:val="22"/>
        </w:rPr>
        <w:t xml:space="preserve"> Os esclarecimentos solicitados pela fiscalização deverão ser prestados imediatamente, salvo quando implicarem em indagações de caráter técnico, hipótese em que serão respondidos no prazo máximo de 24 (vinte e quatro) horas.</w:t>
      </w:r>
    </w:p>
    <w:p>
      <w:pPr>
        <w:pStyle w:val="Normal"/>
        <w:spacing w:lineRule="auto" w:line="276"/>
        <w:ind w:left="1440" w:hanging="0"/>
        <w:jc w:val="both"/>
        <w:rPr>
          <w:bCs/>
          <w:color w:val="000000"/>
          <w:sz w:val="22"/>
          <w:szCs w:val="22"/>
        </w:rPr>
      </w:pPr>
      <w:r>
        <w:rPr>
          <w:bCs/>
          <w:color w:val="000000"/>
          <w:sz w:val="22"/>
          <w:szCs w:val="22"/>
        </w:rPr>
      </w:r>
    </w:p>
    <w:p>
      <w:pPr>
        <w:pStyle w:val="Normal"/>
        <w:widowControl/>
        <w:suppressAutoHyphens w:val="true"/>
        <w:bidi w:val="0"/>
        <w:spacing w:lineRule="auto" w:line="276" w:before="0" w:after="0"/>
        <w:ind w:left="567" w:right="0" w:hanging="0"/>
        <w:jc w:val="both"/>
        <w:rPr/>
      </w:pPr>
      <w:r>
        <w:rPr>
          <w:b/>
          <w:bCs/>
          <w:color w:val="000000"/>
          <w:sz w:val="22"/>
          <w:szCs w:val="22"/>
        </w:rPr>
        <w:t>14.16.3</w:t>
      </w:r>
      <w:r>
        <w:rPr>
          <w:bCs/>
          <w:color w:val="000000"/>
          <w:sz w:val="22"/>
          <w:szCs w:val="22"/>
        </w:rPr>
        <w:t xml:space="preserve"> A Fiscalização do contrato, antes de cada pagamento, deve atestar se realmente foram adotados os preços à vista registrados nas tabelas de referência, se foi aplicado o percentual de desconto que se sagrou vencedor da licitação; </w:t>
      </w:r>
    </w:p>
    <w:p>
      <w:pPr>
        <w:pStyle w:val="Normal"/>
        <w:spacing w:lineRule="auto" w:line="276"/>
        <w:ind w:left="1440" w:hanging="0"/>
        <w:jc w:val="both"/>
        <w:rPr>
          <w:bCs/>
          <w:color w:val="000000"/>
          <w:sz w:val="22"/>
          <w:szCs w:val="22"/>
        </w:rPr>
      </w:pPr>
      <w:r>
        <w:rPr>
          <w:bCs/>
          <w:color w:val="000000"/>
          <w:sz w:val="22"/>
          <w:szCs w:val="22"/>
        </w:rPr>
      </w:r>
    </w:p>
    <w:p>
      <w:pPr>
        <w:pStyle w:val="Normal"/>
        <w:widowControl/>
        <w:suppressAutoHyphens w:val="true"/>
        <w:bidi w:val="0"/>
        <w:spacing w:lineRule="auto" w:line="276" w:before="0" w:after="0"/>
        <w:ind w:left="510" w:right="0" w:hanging="0"/>
        <w:jc w:val="both"/>
        <w:rPr/>
      </w:pPr>
      <w:r>
        <w:rPr>
          <w:b/>
          <w:bCs/>
          <w:color w:val="000000"/>
          <w:sz w:val="22"/>
          <w:szCs w:val="22"/>
        </w:rPr>
        <w:t>14.16.4</w:t>
      </w:r>
      <w:r>
        <w:rPr>
          <w:bCs/>
          <w:color w:val="000000"/>
          <w:sz w:val="22"/>
          <w:szCs w:val="22"/>
        </w:rPr>
        <w:t xml:space="preserve"> A Fiscalização deve verificar e comparar o tempo gasto para a execução do serviço e o quantitativo de horas (mão de obra) estabelecido em tabela pela montadora (tabela de tempo padrão de reparos).</w:t>
      </w:r>
    </w:p>
    <w:p>
      <w:pPr>
        <w:pStyle w:val="Normal"/>
        <w:spacing w:lineRule="auto" w:line="276"/>
        <w:jc w:val="both"/>
        <w:rPr>
          <w:color w:val="000000"/>
          <w:sz w:val="22"/>
          <w:szCs w:val="22"/>
        </w:rPr>
      </w:pPr>
      <w:r>
        <w:rPr>
          <w:color w:val="000000"/>
          <w:sz w:val="22"/>
          <w:szCs w:val="22"/>
        </w:rPr>
      </w:r>
    </w:p>
    <w:p>
      <w:pPr>
        <w:pStyle w:val="Normal"/>
        <w:widowControl/>
        <w:suppressAutoHyphens w:val="true"/>
        <w:bidi w:val="0"/>
        <w:spacing w:lineRule="auto" w:line="276" w:before="0" w:after="0"/>
        <w:ind w:left="0" w:right="0" w:hanging="0"/>
        <w:jc w:val="both"/>
        <w:rPr/>
      </w:pPr>
      <w:r>
        <w:rPr>
          <w:b/>
          <w:bCs/>
          <w:sz w:val="22"/>
          <w:szCs w:val="22"/>
        </w:rPr>
        <w:t xml:space="preserve">14.17 </w:t>
      </w:r>
      <w:r>
        <w:rPr>
          <w:sz w:val="22"/>
          <w:szCs w:val="22"/>
        </w:rPr>
        <w:t>As disposições previstas nesta cláusula não excluem o disposto no Anexo VIII da Instrução Normativa SLTI/MP nº 05, de 2017, aplicável no que for pertinente à contratação.</w:t>
      </w:r>
    </w:p>
    <w:p>
      <w:pPr>
        <w:pStyle w:val="Normal"/>
        <w:spacing w:lineRule="auto" w:line="276"/>
        <w:ind w:left="142" w:hanging="0"/>
        <w:jc w:val="both"/>
        <w:rPr>
          <w:color w:val="000000"/>
          <w:sz w:val="22"/>
          <w:szCs w:val="22"/>
        </w:rPr>
      </w:pPr>
      <w:r>
        <w:rPr>
          <w:color w:val="000000"/>
          <w:sz w:val="22"/>
          <w:szCs w:val="22"/>
        </w:rPr>
      </w:r>
    </w:p>
    <w:p>
      <w:pPr>
        <w:pStyle w:val="Normal"/>
        <w:widowControl/>
        <w:suppressAutoHyphens w:val="true"/>
        <w:bidi w:val="0"/>
        <w:spacing w:lineRule="auto" w:line="276" w:before="0" w:after="120"/>
        <w:ind w:left="0" w:right="0" w:hanging="0"/>
        <w:jc w:val="both"/>
        <w:rPr/>
      </w:pPr>
      <w:r>
        <w:rPr>
          <w:b/>
          <w:bCs/>
          <w:sz w:val="22"/>
          <w:szCs w:val="22"/>
        </w:rPr>
        <w:t>14.18</w:t>
      </w:r>
      <w:r>
        <w:rPr>
          <w:sz w:val="22"/>
          <w:szCs w:val="22"/>
        </w:rPr>
        <w:t xml:space="preserve"> </w:t>
      </w:r>
      <w:r>
        <w:rPr>
          <w:color w:val="000000"/>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 xml:space="preserve">DO RECEBIMENTO E ACEITAÇÃO DO OBJETO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A emissão da Nota Fiscal/Fatura deve ser precedida do recebimento definitivo dos serviços, nos termos abaixo.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No</w:t>
      </w:r>
      <w:r>
        <w:rPr>
          <w:color w:val="000000"/>
          <w:sz w:val="22"/>
          <w:szCs w:val="22"/>
        </w:rPr>
        <w:t xml:space="preserve"> </w:t>
      </w:r>
      <w:r>
        <w:rPr>
          <w:sz w:val="22"/>
          <w:szCs w:val="22"/>
        </w:rPr>
        <w:t xml:space="preserve">prazo de até </w:t>
      </w:r>
      <w:r>
        <w:rPr>
          <w:i/>
          <w:sz w:val="22"/>
          <w:szCs w:val="22"/>
        </w:rPr>
        <w:t>5 dias corridos</w:t>
      </w:r>
      <w:r>
        <w:rPr>
          <w:sz w:val="22"/>
          <w:szCs w:val="22"/>
        </w:rPr>
        <w:t xml:space="preserve"> do adimplemento da parcela, a CONTRATADA deverá entregar toda a documentação comprobatória do cumprimento da obrigação contratual;  </w:t>
      </w:r>
    </w:p>
    <w:p>
      <w:pPr>
        <w:pStyle w:val="Normal"/>
        <w:widowControl/>
        <w:numPr>
          <w:ilvl w:val="1"/>
          <w:numId w:val="6"/>
        </w:numPr>
        <w:suppressAutoHyphens w:val="true"/>
        <w:bidi w:val="0"/>
        <w:spacing w:lineRule="auto" w:line="276" w:before="120" w:after="120"/>
        <w:ind w:left="0" w:right="0" w:hanging="0"/>
        <w:jc w:val="both"/>
        <w:rPr/>
      </w:pPr>
      <w:r>
        <w:rPr>
          <w:sz w:val="22"/>
          <w:szCs w:val="22"/>
        </w:rPr>
        <w:t>O recebimento provisório será realizado pelo fiscal técnico e setorial ou pela equipe de fiscalização após a entrega da documentação acima, da seguinte forma:</w:t>
      </w:r>
    </w:p>
    <w:p>
      <w:pPr>
        <w:pStyle w:val="Normal"/>
        <w:widowControl/>
        <w:numPr>
          <w:ilvl w:val="2"/>
          <w:numId w:val="6"/>
        </w:numPr>
        <w:suppressAutoHyphens w:val="true"/>
        <w:bidi w:val="0"/>
        <w:spacing w:lineRule="auto" w:line="276" w:before="120" w:after="120"/>
        <w:ind w:left="567" w:right="0" w:hanging="0"/>
        <w:jc w:val="both"/>
        <w:rPr/>
      </w:pPr>
      <w:r>
        <w:rPr>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widowControl/>
        <w:numPr>
          <w:ilvl w:val="3"/>
          <w:numId w:val="6"/>
        </w:numPr>
        <w:suppressAutoHyphens w:val="true"/>
        <w:bidi w:val="0"/>
        <w:spacing w:lineRule="auto" w:line="276" w:before="120" w:after="120"/>
        <w:ind w:left="1134" w:right="0" w:hanging="0"/>
        <w:jc w:val="both"/>
        <w:rPr/>
      </w:pPr>
      <w:r>
        <w:rPr>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widowControl/>
        <w:numPr>
          <w:ilvl w:val="3"/>
          <w:numId w:val="6"/>
        </w:numPr>
        <w:suppressAutoHyphens w:val="true"/>
        <w:bidi w:val="0"/>
        <w:spacing w:lineRule="auto" w:line="276" w:before="120" w:after="120"/>
        <w:ind w:left="1134" w:right="0" w:hanging="0"/>
        <w:jc w:val="both"/>
        <w:rPr>
          <w:color w:val="000000"/>
          <w:sz w:val="22"/>
          <w:szCs w:val="22"/>
        </w:rPr>
      </w:pPr>
      <w:r>
        <w:rPr>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Normal"/>
        <w:widowControl/>
        <w:numPr>
          <w:ilvl w:val="3"/>
          <w:numId w:val="6"/>
        </w:numPr>
        <w:suppressAutoHyphens w:val="true"/>
        <w:bidi w:val="0"/>
        <w:spacing w:lineRule="auto" w:line="276" w:before="120" w:after="120"/>
        <w:ind w:left="1134" w:right="0" w:hanging="0"/>
        <w:jc w:val="both"/>
        <w:rPr>
          <w:color w:val="000000"/>
          <w:sz w:val="22"/>
          <w:szCs w:val="22"/>
        </w:rPr>
      </w:pPr>
      <w:r>
        <w:rPr>
          <w:color w:val="000000"/>
          <w:sz w:val="22"/>
          <w:szCs w:val="22"/>
        </w:rPr>
        <w:t>O recebimento provisório também ficará sujeito, quando cabível, à conclusão de todos os testes de campo e à entrega dos Manuais e Instruções exigíveis.</w:t>
      </w:r>
    </w:p>
    <w:p>
      <w:pPr>
        <w:pStyle w:val="Normal"/>
        <w:widowControl/>
        <w:numPr>
          <w:ilvl w:val="2"/>
          <w:numId w:val="6"/>
        </w:numPr>
        <w:suppressAutoHyphens w:val="true"/>
        <w:bidi w:val="0"/>
        <w:spacing w:lineRule="auto" w:line="276" w:before="120" w:after="120"/>
        <w:ind w:left="567" w:right="0" w:hanging="0"/>
        <w:jc w:val="both"/>
        <w:rPr/>
      </w:pPr>
      <w:r>
        <w:rPr>
          <w:color w:val="000000"/>
          <w:sz w:val="22"/>
          <w:szCs w:val="22"/>
        </w:rPr>
        <w:t xml:space="preserve">No prazo </w:t>
      </w:r>
      <w:r>
        <w:rPr>
          <w:sz w:val="22"/>
          <w:szCs w:val="22"/>
        </w:rPr>
        <w:t xml:space="preserve">de até </w:t>
      </w:r>
      <w:r>
        <w:rPr>
          <w:i/>
          <w:sz w:val="22"/>
          <w:szCs w:val="22"/>
        </w:rPr>
        <w:t>10 dias corridos</w:t>
      </w:r>
      <w:r>
        <w:rPr>
          <w:color w:val="FF0000"/>
          <w:sz w:val="22"/>
          <w:szCs w:val="22"/>
        </w:rPr>
        <w:t xml:space="preserve"> </w:t>
      </w:r>
      <w:r>
        <w:rPr>
          <w:color w:val="000000"/>
          <w:sz w:val="22"/>
          <w:szCs w:val="22"/>
        </w:rPr>
        <w:t xml:space="preserve">a partir do recebimento dos documentos da CONTRATADA, cada fiscal ou a equipe de fiscalização deverá elaborar Relatório Circunstanciado em consonância com suas atribuições, e encaminhá-lo ao gestor do contrato. </w:t>
      </w:r>
    </w:p>
    <w:p>
      <w:pPr>
        <w:pStyle w:val="Normal"/>
        <w:widowControl/>
        <w:numPr>
          <w:ilvl w:val="3"/>
          <w:numId w:val="6"/>
        </w:numPr>
        <w:suppressAutoHyphens w:val="true"/>
        <w:bidi w:val="0"/>
        <w:spacing w:lineRule="auto" w:line="276" w:before="120" w:after="120"/>
        <w:ind w:left="1134" w:right="0" w:hanging="0"/>
        <w:jc w:val="both"/>
        <w:rPr>
          <w:color w:val="000000"/>
          <w:sz w:val="22"/>
          <w:szCs w:val="22"/>
        </w:rPr>
      </w:pPr>
      <w:r>
        <w:rPr>
          <w:sz w:val="22"/>
          <w:szCs w:val="22"/>
        </w:rPr>
        <w:t xml:space="preserve">Quando a fiscalização for exercida por um único servidor, o relatório circunstanciado </w:t>
      </w:r>
      <w:r>
        <w:rPr>
          <w:color w:val="000000"/>
          <w:sz w:val="22"/>
          <w:szCs w:val="22"/>
        </w:rPr>
        <w:t>deverá</w:t>
      </w:r>
      <w:r>
        <w:rPr>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widowControl/>
        <w:numPr>
          <w:ilvl w:val="3"/>
          <w:numId w:val="6"/>
        </w:numPr>
        <w:suppressAutoHyphens w:val="true"/>
        <w:bidi w:val="0"/>
        <w:spacing w:lineRule="auto" w:line="276" w:before="120" w:after="120"/>
        <w:ind w:left="1134" w:right="0" w:hanging="0"/>
        <w:jc w:val="both"/>
        <w:rPr>
          <w:color w:val="000000"/>
          <w:sz w:val="22"/>
          <w:szCs w:val="22"/>
        </w:rPr>
      </w:pPr>
      <w:r>
        <w:rPr>
          <w:sz w:val="22"/>
          <w:szCs w:val="22"/>
        </w:rPr>
        <w:t xml:space="preserve">Será considerado como ocorrido o recebimento provisório com a entrega do relatório circunstanciado ou, em havendo mais de um a ser feito, com a entrega do último. </w:t>
      </w:r>
    </w:p>
    <w:p>
      <w:pPr>
        <w:pStyle w:val="Normal"/>
        <w:widowControl/>
        <w:numPr>
          <w:ilvl w:val="4"/>
          <w:numId w:val="6"/>
        </w:numPr>
        <w:suppressAutoHyphens w:val="true"/>
        <w:bidi w:val="0"/>
        <w:spacing w:lineRule="auto" w:line="276" w:before="120" w:after="120"/>
        <w:ind w:left="1701" w:right="0" w:hanging="0"/>
        <w:jc w:val="both"/>
        <w:rPr/>
      </w:pPr>
      <w:r>
        <w:rPr>
          <w:color w:val="000000"/>
          <w:sz w:val="22"/>
          <w:szCs w:val="22"/>
        </w:rPr>
        <w:t>Na hipótese de a verificação a que se refere o parágrafo anterior não ser procedida tempestivamente, reputar-se-á como realizada, consumando-se o recebimento provisório no dia do esgotamento do prazo.</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 xml:space="preserve">No </w:t>
      </w:r>
      <w:r>
        <w:rPr>
          <w:sz w:val="22"/>
          <w:szCs w:val="22"/>
        </w:rPr>
        <w:t>prazo</w:t>
      </w:r>
      <w:r>
        <w:rPr>
          <w:color w:val="000000"/>
          <w:sz w:val="22"/>
          <w:szCs w:val="22"/>
        </w:rPr>
        <w:t xml:space="preserve"> de </w:t>
      </w:r>
      <w:r>
        <w:rPr>
          <w:sz w:val="22"/>
          <w:szCs w:val="22"/>
        </w:rPr>
        <w:t xml:space="preserve">até </w:t>
      </w:r>
      <w:r>
        <w:rPr>
          <w:i/>
          <w:sz w:val="22"/>
          <w:szCs w:val="22"/>
        </w:rPr>
        <w:t>10 (dez) dias corridos</w:t>
      </w:r>
      <w:r>
        <w:rPr>
          <w:sz w:val="22"/>
          <w:szCs w:val="22"/>
        </w:rPr>
        <w:t xml:space="preserve"> a partir do recebimento provisório dos serviços, o Gestor do Contrato deverá providenciar</w:t>
      </w:r>
      <w:r>
        <w:rPr>
          <w:color w:val="000000"/>
          <w:sz w:val="22"/>
          <w:szCs w:val="22"/>
        </w:rPr>
        <w:t xml:space="preserve"> o recebimento definitivo, ato que concretiza o ateste da execução dos serviços, obedecendo </w:t>
      </w:r>
      <w:r>
        <w:rPr>
          <w:sz w:val="22"/>
          <w:szCs w:val="22"/>
        </w:rPr>
        <w:t>às seguintes</w:t>
      </w:r>
      <w:r>
        <w:rPr>
          <w:color w:val="000000"/>
          <w:sz w:val="22"/>
          <w:szCs w:val="22"/>
        </w:rPr>
        <w:t xml:space="preserve"> diretrizes: </w:t>
      </w:r>
    </w:p>
    <w:p>
      <w:pPr>
        <w:pStyle w:val="Normal"/>
        <w:widowControl/>
        <w:numPr>
          <w:ilvl w:val="2"/>
          <w:numId w:val="6"/>
        </w:numPr>
        <w:suppressAutoHyphens w:val="true"/>
        <w:bidi w:val="0"/>
        <w:spacing w:lineRule="auto" w:line="276" w:before="120" w:after="120"/>
        <w:ind w:left="567" w:right="0" w:hanging="0"/>
        <w:jc w:val="both"/>
        <w:rPr/>
      </w:pPr>
      <w:r>
        <w:rPr>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 xml:space="preserve">Emitir Termo Circunstanciado para efeito de recebimento definitivo dos serviços prestados, com base nos relatórios e documentações apresentadas; e </w:t>
      </w:r>
    </w:p>
    <w:p>
      <w:pPr>
        <w:pStyle w:val="Normal"/>
        <w:widowControl/>
        <w:numPr>
          <w:ilvl w:val="2"/>
          <w:numId w:val="6"/>
        </w:numPr>
        <w:suppressAutoHyphens w:val="true"/>
        <w:bidi w:val="0"/>
        <w:spacing w:lineRule="auto" w:line="276" w:before="120" w:after="120"/>
        <w:ind w:left="567" w:right="0" w:hanging="0"/>
        <w:jc w:val="both"/>
        <w:rPr>
          <w:sz w:val="22"/>
          <w:szCs w:val="22"/>
        </w:rPr>
      </w:pPr>
      <w:r>
        <w:rPr>
          <w:color w:val="000000"/>
          <w:sz w:val="22"/>
          <w:szCs w:val="22"/>
        </w:rPr>
        <w:t xml:space="preserve">Comunicar </w:t>
      </w:r>
      <w:r>
        <w:rPr>
          <w:sz w:val="22"/>
          <w:szCs w:val="22"/>
        </w:rPr>
        <w:t>à empresa</w:t>
      </w:r>
      <w:r>
        <w:rPr>
          <w:color w:val="000000"/>
          <w:sz w:val="22"/>
          <w:szCs w:val="22"/>
        </w:rPr>
        <w:t xml:space="preserve"> para que emita a Nota Fiscal ou Fatura, com o valor exato dimensionado pela fiscalização, </w:t>
      </w:r>
      <w:r>
        <w:rPr>
          <w:sz w:val="22"/>
          <w:szCs w:val="22"/>
        </w:rPr>
        <w:t>com base no Instrumento de Medição de Resultado (IMR.</w:t>
      </w:r>
      <w:r>
        <w:rPr>
          <w:color w:val="000000"/>
          <w:sz w:val="22"/>
          <w:szCs w:val="22"/>
        </w:rPr>
        <w:t xml:space="preserve"> </w:t>
      </w:r>
    </w:p>
    <w:p>
      <w:pPr>
        <w:pStyle w:val="Normal"/>
        <w:widowControl/>
        <w:numPr>
          <w:ilvl w:val="1"/>
          <w:numId w:val="6"/>
        </w:numPr>
        <w:suppressAutoHyphens w:val="true"/>
        <w:bidi w:val="0"/>
        <w:spacing w:lineRule="auto" w:line="276" w:before="120" w:after="120"/>
        <w:ind w:left="0" w:right="0" w:hanging="0"/>
        <w:jc w:val="both"/>
        <w:rPr/>
      </w:pPr>
      <w:r>
        <w:rPr>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pPr>
        <w:pStyle w:val="Normal"/>
        <w:widowControl/>
        <w:numPr>
          <w:ilvl w:val="1"/>
          <w:numId w:val="6"/>
        </w:numPr>
        <w:suppressAutoHyphens w:val="true"/>
        <w:bidi w:val="0"/>
        <w:spacing w:lineRule="auto" w:line="276" w:before="120" w:after="120"/>
        <w:ind w:left="0" w:right="0" w:hanging="0"/>
        <w:jc w:val="both"/>
        <w:rPr/>
      </w:pPr>
      <w:r>
        <w:rPr>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DO PAGAMENTO</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 xml:space="preserve">O </w:t>
      </w:r>
      <w:r>
        <w:rPr>
          <w:sz w:val="22"/>
          <w:szCs w:val="22"/>
        </w:rPr>
        <w:t>pagamento</w:t>
      </w:r>
      <w:r>
        <w:rPr>
          <w:color w:val="000000"/>
          <w:sz w:val="22"/>
          <w:szCs w:val="22"/>
        </w:rPr>
        <w:t xml:space="preserve"> será efetuado pela Contratante no prazo de 30(trinta) dias, contados do recebimento da Nota Fiscal/Fatura. </w:t>
      </w:r>
    </w:p>
    <w:p>
      <w:pPr>
        <w:pStyle w:val="Normal"/>
        <w:widowControl/>
        <w:numPr>
          <w:ilvl w:val="2"/>
          <w:numId w:val="6"/>
        </w:numPr>
        <w:suppressAutoHyphens w:val="true"/>
        <w:bidi w:val="0"/>
        <w:spacing w:lineRule="auto" w:line="276" w:before="120" w:after="120"/>
        <w:ind w:left="567" w:right="0" w:hanging="0"/>
        <w:jc w:val="both"/>
        <w:rPr/>
      </w:pPr>
      <w:r>
        <w:rPr>
          <w:color w:val="000000"/>
          <w:sz w:val="22"/>
          <w:szCs w:val="22"/>
        </w:rPr>
        <w:t xml:space="preserve">Os </w:t>
      </w:r>
      <w:r>
        <w:rPr>
          <w:sz w:val="22"/>
          <w:szCs w:val="22"/>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Pr>
          <w:color w:val="000000"/>
          <w:sz w:val="22"/>
          <w:szCs w:val="22"/>
        </w:rPr>
        <w:t>de 1993.</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A emissão da Nota Fiscal/Fatura será precedida do recebimento definitivo do serviço, conforme este Termo de Referência</w:t>
      </w:r>
    </w:p>
    <w:p>
      <w:pPr>
        <w:pStyle w:val="Normal"/>
        <w:widowControl/>
        <w:numPr>
          <w:ilvl w:val="1"/>
          <w:numId w:val="6"/>
        </w:numPr>
        <w:suppressAutoHyphens w:val="true"/>
        <w:bidi w:val="0"/>
        <w:spacing w:lineRule="auto" w:line="276" w:before="120" w:after="120"/>
        <w:ind w:left="0" w:right="0" w:hanging="0"/>
        <w:jc w:val="both"/>
        <w:rPr>
          <w:sz w:val="22"/>
          <w:szCs w:val="22"/>
        </w:rPr>
      </w:pPr>
      <w:r>
        <w:rPr>
          <w:color w:val="000000"/>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widowControl/>
        <w:numPr>
          <w:ilvl w:val="2"/>
          <w:numId w:val="6"/>
        </w:numPr>
        <w:suppressAutoHyphens w:val="true"/>
        <w:bidi w:val="0"/>
        <w:spacing w:lineRule="auto" w:line="276" w:before="120" w:after="120"/>
        <w:ind w:left="567" w:right="0" w:hanging="0"/>
        <w:jc w:val="both"/>
        <w:rPr/>
      </w:pPr>
      <w:r>
        <w:rPr>
          <w:color w:val="000000"/>
          <w:sz w:val="22"/>
          <w:szCs w:val="22"/>
        </w:rPr>
        <w:t>Constatando-se, junto ao SICAF, a situação de irregularidade do fornecedor contratado, deverão ser tomadas as providências previstas no do art. 31 da Instrução Normativa nº 3, de 26 de abril de 2018.</w:t>
      </w:r>
    </w:p>
    <w:p>
      <w:pPr>
        <w:pStyle w:val="Normal"/>
        <w:widowControl/>
        <w:numPr>
          <w:ilvl w:val="1"/>
          <w:numId w:val="6"/>
        </w:numPr>
        <w:suppressAutoHyphens w:val="true"/>
        <w:bidi w:val="0"/>
        <w:spacing w:lineRule="auto" w:line="276" w:before="120" w:after="120"/>
        <w:ind w:left="0" w:right="0" w:hanging="0"/>
        <w:jc w:val="both"/>
        <w:rPr/>
      </w:pPr>
      <w:r>
        <w:rPr>
          <w:color w:val="000000"/>
          <w:sz w:val="22"/>
          <w:szCs w:val="22"/>
        </w:rPr>
        <w:t xml:space="preserve">O setor competente para proceder o pagamento deve verificar se a Nota Fiscal ou Fatura apresentada expressa os elementos necessários e essenciais do documento, tais como: </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 xml:space="preserve">o prazo de validade; </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 xml:space="preserve">a data da emissão; </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 xml:space="preserve">os dados do contrato e do órgão contratante; </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 xml:space="preserve">o período de prestação dos serviços; </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 xml:space="preserve">o valor a pagar; e </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eventual destaque do valor de retenções tributárias cabíveis.</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Havendo erro </w:t>
      </w:r>
      <w:r>
        <w:rPr>
          <w:color w:val="000000"/>
          <w:sz w:val="22"/>
          <w:szCs w:val="22"/>
        </w:rPr>
        <w:t>na</w:t>
      </w:r>
      <w:r>
        <w:rPr>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Nos termos do item 1, do Anexo VIII-A da Instrução Normativa SEGES/MP nº 05, de 2017, será </w:t>
      </w:r>
      <w:r>
        <w:rPr>
          <w:color w:val="000000"/>
          <w:sz w:val="22"/>
          <w:szCs w:val="22"/>
        </w:rPr>
        <w:t>efetuada</w:t>
      </w:r>
      <w:r>
        <w:rPr>
          <w:sz w:val="22"/>
          <w:szCs w:val="22"/>
        </w:rPr>
        <w:t xml:space="preserve"> a retenção ou glosa no pagamento, proporcional à irregularidade verificada, sem prejuízo das sanções cabíveis, caso se constate que a Contratada:</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não produziu os resultados acordados;</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deixou de executar as atividades contratadas, ou não as executou com a qualidade mínima exigida;</w:t>
      </w:r>
    </w:p>
    <w:p>
      <w:pPr>
        <w:pStyle w:val="Normal"/>
        <w:widowControl/>
        <w:numPr>
          <w:ilvl w:val="2"/>
          <w:numId w:val="6"/>
        </w:numPr>
        <w:suppressAutoHyphens w:val="true"/>
        <w:bidi w:val="0"/>
        <w:spacing w:lineRule="auto" w:line="276" w:before="120" w:after="120"/>
        <w:ind w:left="567" w:right="0" w:hanging="0"/>
        <w:jc w:val="both"/>
        <w:rPr>
          <w:color w:val="000000"/>
          <w:sz w:val="22"/>
          <w:szCs w:val="22"/>
        </w:rPr>
      </w:pPr>
      <w:r>
        <w:rPr>
          <w:color w:val="000000"/>
          <w:sz w:val="22"/>
          <w:szCs w:val="22"/>
        </w:rPr>
        <w:t>deixou de utilizar os materiais e recursos humanos exigidos para a execução do serviço, ou utilizou-os com qualidade ou quantidade inferior à demandada.</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Será considerada data do pagamento o dia em que constar como emitida a ordem bancária para pagamento.</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Antes de cada pagamento à contratada, será realizada consulta ao SICAF para verificar a manutenção das condições de habilitação exigidas no edital.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 xml:space="preserve">Persistindo a irregularidade, a contratante deverá adotar as medidas necessárias à rescisão contratual nos autos do processo administrativo correspondente, assegurada à contratada a ampla defesa. </w:t>
      </w:r>
    </w:p>
    <w:p>
      <w:pPr>
        <w:pStyle w:val="Normal"/>
        <w:widowControl/>
        <w:numPr>
          <w:ilvl w:val="1"/>
          <w:numId w:val="6"/>
        </w:numPr>
        <w:suppressAutoHyphens w:val="true"/>
        <w:bidi w:val="0"/>
        <w:spacing w:lineRule="auto" w:line="276" w:before="120" w:after="120"/>
        <w:ind w:left="0" w:right="0" w:hanging="0"/>
        <w:jc w:val="both"/>
        <w:rPr/>
      </w:pPr>
      <w:r>
        <w:rPr>
          <w:sz w:val="22"/>
          <w:szCs w:val="22"/>
        </w:rPr>
        <w:t xml:space="preserve">Havendo a efetiva execução do objeto, os pagamentos serão realizados normalmente, até que se decida pela rescisão do contrato, caso a contratada não regularize sua situação junto ao SICAF. </w:t>
      </w:r>
    </w:p>
    <w:p>
      <w:pPr>
        <w:pStyle w:val="Normal"/>
        <w:widowControl/>
        <w:numPr>
          <w:ilvl w:val="2"/>
          <w:numId w:val="6"/>
        </w:numPr>
        <w:suppressAutoHyphens w:val="true"/>
        <w:bidi w:val="0"/>
        <w:spacing w:lineRule="auto" w:line="276" w:before="120" w:after="120"/>
        <w:ind w:left="567" w:right="0" w:hanging="0"/>
        <w:jc w:val="both"/>
        <w:rPr/>
      </w:pPr>
      <w:r>
        <w:rPr>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Quando do pagamento, será efetuada a retenção tributária prevista na legislação aplicável, em especial a prevista no artigo 31 da Lei 8.212, de 1993, nos termos do item 6 do Anexo XI da IN SEGES/MP n. 5/2017, quando couber.</w:t>
      </w:r>
    </w:p>
    <w:p>
      <w:pPr>
        <w:pStyle w:val="Normal"/>
        <w:widowControl/>
        <w:numPr>
          <w:ilvl w:val="1"/>
          <w:numId w:val="6"/>
        </w:numPr>
        <w:suppressAutoHyphens w:val="true"/>
        <w:bidi w:val="0"/>
        <w:spacing w:lineRule="auto" w:line="276" w:before="120" w:after="120"/>
        <w:ind w:left="0" w:right="0" w:hanging="0"/>
        <w:jc w:val="both"/>
        <w:rPr>
          <w:sz w:val="22"/>
          <w:szCs w:val="22"/>
        </w:rPr>
      </w:pPr>
      <w:r>
        <w:rPr>
          <w:sz w:val="22"/>
          <w:szCs w:val="22"/>
        </w:rPr>
        <w:t>É vedado o pagamento, a qualquer título, por serviços prestados, à empresa privada que tenha em seu quadro societário servidor público da ativa do órgão contratante, com fundamento na Lei de Diretrizes Orçamentárias vigente.</w:t>
      </w:r>
    </w:p>
    <w:p>
      <w:pPr>
        <w:pStyle w:val="Normal"/>
        <w:widowControl/>
        <w:numPr>
          <w:ilvl w:val="1"/>
          <w:numId w:val="6"/>
        </w:numPr>
        <w:suppressAutoHyphens w:val="true"/>
        <w:bidi w:val="0"/>
        <w:spacing w:lineRule="auto" w:line="276" w:before="120" w:after="120"/>
        <w:ind w:left="0" w:right="0" w:hanging="0"/>
        <w:jc w:val="both"/>
        <w:rPr/>
      </w:pPr>
      <w:r>
        <w:rPr>
          <w:sz w:val="22"/>
          <w:szCs w:val="22"/>
        </w:rPr>
        <w:t xml:space="preserve"> </w:t>
      </w:r>
      <w:r>
        <w:rPr>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widowControl/>
        <w:suppressAutoHyphens w:val="true"/>
        <w:bidi w:val="0"/>
        <w:spacing w:lineRule="auto" w:line="276" w:before="0" w:after="0"/>
        <w:ind w:left="567" w:right="0" w:hanging="0"/>
        <w:jc w:val="both"/>
        <w:rPr/>
      </w:pPr>
      <w:r>
        <w:rPr>
          <w:sz w:val="22"/>
          <w:szCs w:val="22"/>
        </w:rPr>
        <w:t>EM = I x N x VP, sendo:</w:t>
      </w:r>
    </w:p>
    <w:p>
      <w:pPr>
        <w:pStyle w:val="Normal"/>
        <w:widowControl/>
        <w:tabs>
          <w:tab w:val="clear" w:pos="720"/>
          <w:tab w:val="left" w:pos="563" w:leader="none"/>
        </w:tabs>
        <w:suppressAutoHyphens w:val="true"/>
        <w:bidi w:val="0"/>
        <w:spacing w:lineRule="auto" w:line="276" w:before="0" w:after="0"/>
        <w:ind w:left="567" w:right="0" w:hanging="0"/>
        <w:jc w:val="both"/>
        <w:rPr/>
      </w:pPr>
      <w:r>
        <w:rPr>
          <w:color w:val="000000"/>
          <w:sz w:val="22"/>
          <w:szCs w:val="22"/>
        </w:rPr>
        <w:t>EM = Encargos moratórios;</w:t>
      </w:r>
    </w:p>
    <w:p>
      <w:pPr>
        <w:pStyle w:val="Normal"/>
        <w:widowControl/>
        <w:tabs>
          <w:tab w:val="clear" w:pos="720"/>
          <w:tab w:val="left" w:pos="563" w:leader="none"/>
          <w:tab w:val="left" w:pos="1701" w:leader="none"/>
        </w:tabs>
        <w:suppressAutoHyphens w:val="true"/>
        <w:bidi w:val="0"/>
        <w:spacing w:lineRule="auto" w:line="276" w:before="0" w:after="0"/>
        <w:ind w:left="567" w:right="0" w:hanging="0"/>
        <w:jc w:val="both"/>
        <w:rPr/>
      </w:pPr>
      <w:r>
        <w:rPr>
          <w:color w:val="000000"/>
          <w:sz w:val="22"/>
          <w:szCs w:val="22"/>
        </w:rPr>
        <w:t>N = Número de dias entre a data prevista para o pagamento e a do efetivo pagamento;</w:t>
      </w:r>
    </w:p>
    <w:p>
      <w:pPr>
        <w:pStyle w:val="Normal"/>
        <w:widowControl/>
        <w:suppressAutoHyphens w:val="true"/>
        <w:bidi w:val="0"/>
        <w:spacing w:lineRule="auto" w:line="276" w:before="0" w:after="0"/>
        <w:ind w:left="567" w:right="0" w:hanging="0"/>
        <w:jc w:val="both"/>
        <w:rPr/>
      </w:pPr>
      <w:r>
        <w:rPr>
          <w:color w:val="000000"/>
          <w:sz w:val="22"/>
          <w:szCs w:val="22"/>
        </w:rPr>
        <w:t>VP = Valor da parcela a ser paga.</w:t>
      </w:r>
    </w:p>
    <w:p>
      <w:pPr>
        <w:pStyle w:val="Normal"/>
        <w:widowControl/>
        <w:tabs>
          <w:tab w:val="clear" w:pos="720"/>
          <w:tab w:val="left" w:pos="563" w:leader="none"/>
          <w:tab w:val="left" w:pos="1701" w:leader="none"/>
        </w:tabs>
        <w:suppressAutoHyphens w:val="true"/>
        <w:bidi w:val="0"/>
        <w:spacing w:lineRule="auto" w:line="276" w:before="0" w:after="0"/>
        <w:ind w:left="567" w:right="0" w:hanging="0"/>
        <w:jc w:val="both"/>
        <w:rPr/>
      </w:pPr>
      <w:r>
        <w:rPr>
          <w:color w:val="000000"/>
          <w:sz w:val="22"/>
          <w:szCs w:val="22"/>
        </w:rPr>
        <w:t>I = Índice de compensação financeira = 0,00016438, assim apurado:</w:t>
      </w:r>
    </w:p>
    <w:p>
      <w:pPr>
        <w:pStyle w:val="Normal"/>
        <w:widowControl/>
        <w:tabs>
          <w:tab w:val="clear" w:pos="720"/>
          <w:tab w:val="left" w:pos="563" w:leader="none"/>
          <w:tab w:val="left" w:pos="1701" w:leader="none"/>
        </w:tabs>
        <w:suppressAutoHyphens w:val="true"/>
        <w:bidi w:val="0"/>
        <w:spacing w:lineRule="auto" w:line="276" w:before="0" w:after="0"/>
        <w:ind w:left="567" w:right="0" w:hanging="0"/>
        <w:jc w:val="both"/>
        <w:rPr>
          <w:color w:val="000000"/>
          <w:sz w:val="22"/>
          <w:szCs w:val="22"/>
        </w:rPr>
      </w:pPr>
      <w:r>
        <w:rPr>
          <w:color w:val="000000"/>
          <w:sz w:val="22"/>
          <w:szCs w:val="22"/>
        </w:rPr>
      </w:r>
    </w:p>
    <w:tbl>
      <w:tblPr>
        <w:tblW w:w="8647" w:type="dxa"/>
        <w:jc w:val="left"/>
        <w:tblInd w:w="533" w:type="dxa"/>
        <w:tblCellMar>
          <w:top w:w="0" w:type="dxa"/>
          <w:left w:w="108" w:type="dxa"/>
          <w:bottom w:w="0" w:type="dxa"/>
          <w:right w:w="108" w:type="dxa"/>
        </w:tblCellMar>
        <w:tblLook w:firstRow="0" w:noVBand="1" w:lastRow="0" w:firstColumn="0" w:lastColumn="0" w:noHBand="0" w:val="0400"/>
      </w:tblPr>
      <w:tblGrid>
        <w:gridCol w:w="2147"/>
        <w:gridCol w:w="441"/>
        <w:gridCol w:w="1246"/>
        <w:gridCol w:w="4812"/>
      </w:tblGrid>
      <w:tr>
        <w:trPr/>
        <w:tc>
          <w:tcPr>
            <w:tcW w:w="2147" w:type="dxa"/>
            <w:vMerge w:val="restart"/>
            <w:tcBorders/>
            <w:shd w:fill="auto" w:val="clear"/>
            <w:vAlign w:val="center"/>
          </w:tcPr>
          <w:p>
            <w:pPr>
              <w:pStyle w:val="Normal"/>
              <w:tabs>
                <w:tab w:val="clear" w:pos="720"/>
                <w:tab w:val="left" w:pos="1701" w:leader="none"/>
              </w:tabs>
              <w:spacing w:lineRule="auto" w:line="276"/>
              <w:rPr>
                <w:color w:val="000000"/>
                <w:sz w:val="22"/>
                <w:szCs w:val="22"/>
              </w:rPr>
            </w:pPr>
            <w:r>
              <w:rPr>
                <w:color w:val="000000"/>
                <w:sz w:val="22"/>
                <w:szCs w:val="22"/>
              </w:rPr>
              <w:t>I = (TX)</w:t>
            </w:r>
          </w:p>
        </w:tc>
        <w:tc>
          <w:tcPr>
            <w:tcW w:w="441" w:type="dxa"/>
            <w:vMerge w:val="restart"/>
            <w:tcBorders/>
            <w:shd w:fill="auto" w:val="clear"/>
            <w:vAlign w:val="center"/>
          </w:tcPr>
          <w:p>
            <w:pPr>
              <w:pStyle w:val="Normal"/>
              <w:tabs>
                <w:tab w:val="clear" w:pos="720"/>
                <w:tab w:val="left" w:pos="1701" w:leader="none"/>
              </w:tabs>
              <w:spacing w:lineRule="auto" w:line="276"/>
              <w:rPr>
                <w:color w:val="000000"/>
                <w:sz w:val="22"/>
                <w:szCs w:val="22"/>
              </w:rPr>
            </w:pPr>
            <w:r>
              <w:rPr>
                <w:color w:val="000000"/>
                <w:sz w:val="22"/>
                <w:szCs w:val="22"/>
              </w:rPr>
              <w:t xml:space="preserve">I = </w:t>
            </w:r>
          </w:p>
        </w:tc>
        <w:tc>
          <w:tcPr>
            <w:tcW w:w="1246" w:type="dxa"/>
            <w:tcBorders/>
            <w:shd w:fill="auto" w:val="clear"/>
          </w:tcPr>
          <w:p>
            <w:pPr>
              <w:pStyle w:val="Normal"/>
              <w:tabs>
                <w:tab w:val="clear" w:pos="720"/>
                <w:tab w:val="left" w:pos="1701" w:leader="none"/>
              </w:tabs>
              <w:spacing w:lineRule="auto" w:line="276"/>
              <w:rPr>
                <w:color w:val="000000"/>
                <w:sz w:val="22"/>
                <w:szCs w:val="22"/>
              </w:rPr>
            </w:pPr>
            <w:r>
              <w:rPr>
                <w:color w:val="000000"/>
                <w:sz w:val="22"/>
                <w:szCs w:val="22"/>
              </w:rPr>
              <w:t>( 6 / 100 )</w:t>
            </w:r>
          </w:p>
        </w:tc>
        <w:tc>
          <w:tcPr>
            <w:tcW w:w="4812" w:type="dxa"/>
            <w:vMerge w:val="restart"/>
            <w:tcBorders/>
            <w:shd w:fill="auto" w:val="clear"/>
            <w:vAlign w:val="center"/>
          </w:tcPr>
          <w:p>
            <w:pPr>
              <w:pStyle w:val="Normal"/>
              <w:tabs>
                <w:tab w:val="clear" w:pos="720"/>
                <w:tab w:val="left" w:pos="1701" w:leader="none"/>
              </w:tabs>
              <w:spacing w:lineRule="auto" w:line="276"/>
              <w:ind w:left="742" w:hanging="0"/>
              <w:rPr>
                <w:color w:val="000000"/>
                <w:sz w:val="22"/>
                <w:szCs w:val="22"/>
              </w:rPr>
            </w:pPr>
            <w:r>
              <w:rPr>
                <w:color w:val="000000"/>
                <w:sz w:val="22"/>
                <w:szCs w:val="22"/>
              </w:rPr>
              <w:t>I = 0,00016438</w:t>
            </w:r>
          </w:p>
          <w:p>
            <w:pPr>
              <w:pStyle w:val="Normal"/>
              <w:tabs>
                <w:tab w:val="clear" w:pos="720"/>
                <w:tab w:val="left" w:pos="1701" w:leader="none"/>
              </w:tabs>
              <w:spacing w:lineRule="auto" w:line="276"/>
              <w:ind w:left="742" w:hanging="0"/>
              <w:rPr>
                <w:color w:val="000000"/>
                <w:sz w:val="22"/>
                <w:szCs w:val="22"/>
              </w:rPr>
            </w:pPr>
            <w:r>
              <w:rPr>
                <w:color w:val="000000"/>
                <w:sz w:val="22"/>
                <w:szCs w:val="22"/>
              </w:rPr>
              <w:t>TX = Percentual da taxa anual = 6%</w:t>
            </w:r>
          </w:p>
          <w:p>
            <w:pPr>
              <w:pStyle w:val="Normal"/>
              <w:tabs>
                <w:tab w:val="clear" w:pos="720"/>
                <w:tab w:val="left" w:pos="1701" w:leader="none"/>
              </w:tabs>
              <w:spacing w:lineRule="auto" w:line="276"/>
              <w:ind w:left="742" w:hanging="0"/>
              <w:rPr>
                <w:color w:val="000000"/>
                <w:sz w:val="22"/>
                <w:szCs w:val="22"/>
              </w:rPr>
            </w:pPr>
            <w:r>
              <w:rPr>
                <w:color w:val="000000"/>
                <w:sz w:val="22"/>
                <w:szCs w:val="22"/>
              </w:rPr>
            </w:r>
          </w:p>
        </w:tc>
      </w:tr>
      <w:tr>
        <w:trPr/>
        <w:tc>
          <w:tcPr>
            <w:tcW w:w="2147" w:type="dxa"/>
            <w:vMerge w:val="continue"/>
            <w:tcBorders/>
            <w:shd w:fill="auto" w:val="clear"/>
            <w:vAlign w:val="center"/>
          </w:tcPr>
          <w:p>
            <w:pPr>
              <w:pStyle w:val="Normal"/>
              <w:widowControl w:val="false"/>
              <w:spacing w:lineRule="auto" w:line="276"/>
              <w:rPr>
                <w:color w:val="000000"/>
                <w:sz w:val="22"/>
                <w:szCs w:val="22"/>
              </w:rPr>
            </w:pPr>
            <w:r>
              <w:rPr>
                <w:color w:val="000000"/>
                <w:sz w:val="22"/>
                <w:szCs w:val="22"/>
              </w:rPr>
            </w:r>
          </w:p>
        </w:tc>
        <w:tc>
          <w:tcPr>
            <w:tcW w:w="441" w:type="dxa"/>
            <w:vMerge w:val="continue"/>
            <w:tcBorders/>
            <w:shd w:fill="auto" w:val="clear"/>
            <w:vAlign w:val="center"/>
          </w:tcPr>
          <w:p>
            <w:pPr>
              <w:pStyle w:val="Normal"/>
              <w:widowControl w:val="false"/>
              <w:spacing w:lineRule="auto" w:line="276"/>
              <w:rPr>
                <w:color w:val="000000"/>
                <w:sz w:val="22"/>
                <w:szCs w:val="22"/>
              </w:rPr>
            </w:pPr>
            <w:r>
              <w:rPr>
                <w:color w:val="000000"/>
                <w:sz w:val="22"/>
                <w:szCs w:val="22"/>
              </w:rPr>
            </w:r>
          </w:p>
        </w:tc>
        <w:tc>
          <w:tcPr>
            <w:tcW w:w="1246" w:type="dxa"/>
            <w:tcBorders/>
            <w:shd w:fill="auto" w:val="clear"/>
          </w:tcPr>
          <w:p>
            <w:pPr>
              <w:pStyle w:val="Normal"/>
              <w:tabs>
                <w:tab w:val="clear" w:pos="720"/>
                <w:tab w:val="left" w:pos="1701" w:leader="none"/>
              </w:tabs>
              <w:spacing w:lineRule="auto" w:line="276"/>
              <w:rPr>
                <w:color w:val="000000"/>
                <w:sz w:val="22"/>
                <w:szCs w:val="22"/>
              </w:rPr>
            </w:pPr>
            <w:r>
              <w:rPr>
                <w:color w:val="000000"/>
                <w:sz w:val="22"/>
                <w:szCs w:val="22"/>
              </w:rPr>
              <w:t>365</w:t>
            </w:r>
          </w:p>
        </w:tc>
        <w:tc>
          <w:tcPr>
            <w:tcW w:w="4812" w:type="dxa"/>
            <w:vMerge w:val="continue"/>
            <w:tcBorders/>
            <w:shd w:fill="auto" w:val="clear"/>
            <w:vAlign w:val="center"/>
          </w:tcPr>
          <w:p>
            <w:pPr>
              <w:pStyle w:val="Normal"/>
              <w:widowControl w:val="false"/>
              <w:spacing w:lineRule="auto" w:line="276"/>
              <w:rPr>
                <w:color w:val="000000"/>
                <w:sz w:val="22"/>
                <w:szCs w:val="22"/>
              </w:rPr>
            </w:pPr>
            <w:r>
              <w:rPr>
                <w:color w:val="000000"/>
                <w:sz w:val="22"/>
                <w:szCs w:val="22"/>
              </w:rPr>
            </w:r>
          </w:p>
        </w:tc>
      </w:tr>
    </w:tbl>
    <w:p>
      <w:pPr>
        <w:pStyle w:val="Normal"/>
        <w:keepNext w:val="true"/>
        <w:keepLines/>
        <w:widowControl/>
        <w:numPr>
          <w:ilvl w:val="0"/>
          <w:numId w:val="6"/>
        </w:numPr>
        <w:suppressAutoHyphens w:val="true"/>
        <w:bidi w:val="0"/>
        <w:spacing w:lineRule="auto" w:line="276" w:before="480" w:after="0"/>
        <w:ind w:left="0" w:right="0" w:hanging="0"/>
        <w:jc w:val="both"/>
        <w:rPr/>
      </w:pPr>
      <w:r>
        <w:rPr>
          <w:b/>
          <w:color w:val="000000"/>
          <w:sz w:val="22"/>
          <w:szCs w:val="22"/>
        </w:rPr>
        <w:t>REAJUSTE</w:t>
      </w:r>
    </w:p>
    <w:p>
      <w:pPr>
        <w:pStyle w:val="Normal"/>
        <w:keepNext w:val="true"/>
        <w:keepLines/>
        <w:widowControl/>
        <w:suppressAutoHyphens w:val="true"/>
        <w:bidi w:val="0"/>
        <w:spacing w:lineRule="auto" w:line="276" w:before="480" w:after="0"/>
        <w:ind w:left="0" w:right="0" w:hanging="0"/>
        <w:jc w:val="both"/>
        <w:rPr/>
      </w:pPr>
      <w:r>
        <w:rPr>
          <w:color w:val="000000"/>
          <w:sz w:val="22"/>
          <w:szCs w:val="22"/>
        </w:rPr>
        <w:t>17.1 Os preços são fixos e irreajustáveis considerando que para esta licitação foi adotado o menor preço global estimado obtido por meio do maior percentual de desconto sobre o preço médio da tabela da ANP tabelas dos serviços de manutenção e peças.</w:t>
      </w:r>
      <w:r>
        <w:rPr>
          <w:rFonts w:cs="TimesNewRoman" w:ascii="TimesNewRoman" w:hAnsi="TimesNewRoman"/>
          <w:color w:val="000000"/>
          <w:sz w:val="22"/>
        </w:rPr>
        <w:t xml:space="preserve">  </w:t>
      </w:r>
    </w:p>
    <w:p>
      <w:pPr>
        <w:pStyle w:val="Normal"/>
        <w:keepNext w:val="true"/>
        <w:keepLines/>
        <w:widowControl/>
        <w:suppressAutoHyphens w:val="true"/>
        <w:bidi w:val="0"/>
        <w:spacing w:lineRule="auto" w:line="276" w:before="480" w:after="0"/>
        <w:ind w:left="0" w:right="0" w:hanging="0"/>
        <w:jc w:val="both"/>
        <w:rPr/>
      </w:pPr>
      <w:r>
        <w:rPr>
          <w:b/>
          <w:sz w:val="22"/>
          <w:szCs w:val="22"/>
        </w:rPr>
        <w:t xml:space="preserve">18. </w:t>
      </w:r>
      <w:r>
        <w:rPr>
          <w:b/>
          <w:color w:val="000000"/>
          <w:sz w:val="22"/>
          <w:szCs w:val="22"/>
        </w:rPr>
        <w:t>GARANTIA DA EXECUÇÃO</w:t>
      </w:r>
    </w:p>
    <w:p>
      <w:pPr>
        <w:pStyle w:val="Normal"/>
        <w:keepNext w:val="true"/>
        <w:keepLines/>
        <w:widowControl/>
        <w:suppressAutoHyphens w:val="true"/>
        <w:bidi w:val="0"/>
        <w:spacing w:lineRule="auto" w:line="276" w:before="480" w:after="0"/>
        <w:ind w:left="0" w:right="0" w:hanging="0"/>
        <w:jc w:val="both"/>
        <w:rPr/>
      </w:pPr>
      <w:r>
        <w:rPr>
          <w:sz w:val="22"/>
          <w:szCs w:val="22"/>
        </w:rPr>
        <w:t xml:space="preserve">18.1 </w:t>
      </w:r>
      <w:r>
        <w:rPr>
          <w:color w:val="000000"/>
          <w:sz w:val="22"/>
          <w:szCs w:val="22"/>
        </w:rPr>
        <w:t>Não haverá exigência de garantia contratual da execução, pelas razões abaixo justificadas:</w:t>
      </w:r>
    </w:p>
    <w:p>
      <w:pPr>
        <w:pStyle w:val="Normal"/>
        <w:keepNext w:val="true"/>
        <w:keepLines/>
        <w:widowControl/>
        <w:suppressAutoHyphens w:val="true"/>
        <w:bidi w:val="0"/>
        <w:spacing w:lineRule="auto" w:line="276" w:before="120" w:after="0"/>
        <w:ind w:left="567" w:right="0" w:hanging="0"/>
        <w:jc w:val="both"/>
        <w:rPr/>
      </w:pPr>
      <w:r>
        <w:rPr>
          <w:bCs/>
          <w:sz w:val="22"/>
          <w:szCs w:val="22"/>
        </w:rPr>
        <w:t>18.1.1 Por se tratar de um pregão de preços, que apenas gera expectativa da prestação do serviço e não ter a obrigatoriedade de atingir a margem de consumo estimada (considerando tratar-se de produtos com entrega imediata e que não geram obrigações futuras).</w:t>
      </w:r>
    </w:p>
    <w:p>
      <w:pPr>
        <w:pStyle w:val="Normal"/>
        <w:keepNext w:val="true"/>
        <w:keepLines/>
        <w:widowControl/>
        <w:numPr>
          <w:ilvl w:val="0"/>
          <w:numId w:val="5"/>
        </w:numPr>
        <w:suppressAutoHyphens w:val="true"/>
        <w:bidi w:val="0"/>
        <w:spacing w:lineRule="auto" w:line="276" w:before="480" w:after="0"/>
        <w:ind w:left="0" w:right="0" w:hanging="0"/>
        <w:jc w:val="both"/>
        <w:rPr/>
      </w:pPr>
      <w:r>
        <w:rPr>
          <w:b/>
          <w:color w:val="000000"/>
          <w:sz w:val="22"/>
          <w:szCs w:val="22"/>
        </w:rPr>
        <w:t>DAS SANÇÕES ADMINISTRATIVAS</w:t>
      </w:r>
    </w:p>
    <w:p>
      <w:pPr>
        <w:pStyle w:val="Normal"/>
        <w:widowControl/>
        <w:numPr>
          <w:ilvl w:val="1"/>
          <w:numId w:val="5"/>
        </w:numPr>
        <w:suppressAutoHyphens w:val="true"/>
        <w:bidi w:val="0"/>
        <w:spacing w:lineRule="auto" w:line="276" w:before="120" w:after="120"/>
        <w:ind w:left="567" w:right="0" w:hanging="0"/>
        <w:jc w:val="both"/>
        <w:rPr/>
      </w:pPr>
      <w:r>
        <w:rPr>
          <w:sz w:val="22"/>
          <w:szCs w:val="22"/>
        </w:rPr>
        <w:t>Comete infração administrativa nos termos da Lei nº 10.520, de 2002, a CONTRATADA que:</w:t>
      </w:r>
    </w:p>
    <w:p>
      <w:pPr>
        <w:pStyle w:val="Normal"/>
        <w:widowControl/>
        <w:suppressAutoHyphens w:val="true"/>
        <w:bidi w:val="0"/>
        <w:spacing w:lineRule="auto" w:line="276" w:before="120" w:after="120"/>
        <w:ind w:left="1134" w:right="0" w:hanging="0"/>
        <w:jc w:val="both"/>
        <w:rPr>
          <w:color w:val="000000"/>
          <w:sz w:val="22"/>
          <w:szCs w:val="22"/>
        </w:rPr>
      </w:pPr>
      <w:r>
        <w:rPr>
          <w:color w:val="000000"/>
          <w:sz w:val="22"/>
          <w:szCs w:val="22"/>
        </w:rPr>
        <w:t>19.1.1. inexecutar total ou parcialmente qualquer das obrigações assumidas em decorrência da contratação;</w:t>
      </w:r>
    </w:p>
    <w:p>
      <w:pPr>
        <w:pStyle w:val="Normal"/>
        <w:widowControl/>
        <w:suppressAutoHyphens w:val="true"/>
        <w:bidi w:val="0"/>
        <w:spacing w:lineRule="auto" w:line="276" w:before="120" w:after="120"/>
        <w:ind w:left="1134" w:right="0" w:hanging="0"/>
        <w:jc w:val="both"/>
        <w:rPr/>
      </w:pPr>
      <w:r>
        <w:rPr>
          <w:color w:val="000000"/>
          <w:sz w:val="22"/>
          <w:szCs w:val="22"/>
        </w:rPr>
        <w:t>19.1.2. ensejar o retardamento da execução do objeto;</w:t>
      </w:r>
    </w:p>
    <w:p>
      <w:pPr>
        <w:pStyle w:val="Normal"/>
        <w:widowControl/>
        <w:suppressAutoHyphens w:val="true"/>
        <w:bidi w:val="0"/>
        <w:spacing w:lineRule="auto" w:line="276" w:before="120" w:after="120"/>
        <w:ind w:left="1134" w:right="0" w:hanging="0"/>
        <w:jc w:val="both"/>
        <w:rPr>
          <w:color w:val="000000"/>
          <w:sz w:val="22"/>
          <w:szCs w:val="22"/>
        </w:rPr>
      </w:pPr>
      <w:r>
        <w:rPr>
          <w:color w:val="000000"/>
          <w:sz w:val="22"/>
          <w:szCs w:val="22"/>
        </w:rPr>
        <w:t>19.1.3. falhar ou fraudar na execução do contrato;</w:t>
      </w:r>
    </w:p>
    <w:p>
      <w:pPr>
        <w:pStyle w:val="Normal"/>
        <w:widowControl/>
        <w:suppressAutoHyphens w:val="true"/>
        <w:bidi w:val="0"/>
        <w:spacing w:lineRule="auto" w:line="276" w:before="120" w:after="120"/>
        <w:ind w:left="1134" w:right="0" w:hanging="0"/>
        <w:jc w:val="both"/>
        <w:rPr>
          <w:color w:val="000000"/>
          <w:sz w:val="22"/>
          <w:szCs w:val="22"/>
        </w:rPr>
      </w:pPr>
      <w:r>
        <w:rPr>
          <w:color w:val="000000"/>
          <w:sz w:val="22"/>
          <w:szCs w:val="22"/>
        </w:rPr>
        <w:t>19.1.4. comportar-se de modo inidôneo; ou</w:t>
      </w:r>
    </w:p>
    <w:p>
      <w:pPr>
        <w:pStyle w:val="Normal"/>
        <w:widowControl/>
        <w:suppressAutoHyphens w:val="true"/>
        <w:bidi w:val="0"/>
        <w:spacing w:lineRule="auto" w:line="276" w:before="120" w:after="120"/>
        <w:ind w:left="1134" w:right="0" w:hanging="0"/>
        <w:jc w:val="both"/>
        <w:rPr>
          <w:color w:val="000000"/>
          <w:sz w:val="22"/>
          <w:szCs w:val="22"/>
        </w:rPr>
      </w:pPr>
      <w:r>
        <w:rPr>
          <w:color w:val="000000"/>
          <w:sz w:val="22"/>
          <w:szCs w:val="22"/>
        </w:rPr>
        <w:t>19.1.5. cometer fraude fiscal.</w:t>
      </w:r>
    </w:p>
    <w:p>
      <w:pPr>
        <w:pStyle w:val="Normal"/>
        <w:widowControl/>
        <w:numPr>
          <w:ilvl w:val="1"/>
          <w:numId w:val="5"/>
        </w:numPr>
        <w:suppressAutoHyphens w:val="true"/>
        <w:bidi w:val="0"/>
        <w:spacing w:lineRule="auto" w:line="276" w:before="120" w:after="120"/>
        <w:ind w:left="567" w:right="0" w:hanging="0"/>
        <w:jc w:val="both"/>
        <w:rPr/>
      </w:pPr>
      <w:r>
        <w:rPr>
          <w:sz w:val="22"/>
          <w:szCs w:val="22"/>
        </w:rPr>
        <w:t xml:space="preserve">Pela inexecução </w:t>
      </w:r>
      <w:r>
        <w:rPr>
          <w:sz w:val="22"/>
          <w:szCs w:val="22"/>
          <w:u w:val="single"/>
        </w:rPr>
        <w:t>total ou parcial</w:t>
      </w:r>
      <w:r>
        <w:rPr>
          <w:sz w:val="22"/>
          <w:szCs w:val="22"/>
        </w:rPr>
        <w:t xml:space="preserve"> do objeto deste contrato, a Administração pode aplicar à CONTRATADA as seguintes sanções:</w:t>
      </w:r>
    </w:p>
    <w:p>
      <w:pPr>
        <w:pStyle w:val="Normal"/>
        <w:widowControl/>
        <w:suppressAutoHyphens w:val="true"/>
        <w:bidi w:val="0"/>
        <w:spacing w:lineRule="auto" w:line="276" w:before="120" w:after="120"/>
        <w:ind w:left="1134" w:right="0" w:hanging="0"/>
        <w:jc w:val="both"/>
        <w:rPr/>
      </w:pPr>
      <w:r>
        <w:rPr>
          <w:b/>
          <w:sz w:val="22"/>
          <w:szCs w:val="22"/>
        </w:rPr>
        <w:t xml:space="preserve">19.2.1 </w:t>
      </w:r>
      <w:r>
        <w:rPr>
          <w:b/>
          <w:color w:val="000000"/>
          <w:sz w:val="22"/>
          <w:szCs w:val="22"/>
        </w:rPr>
        <w:t>Advertência por escrito</w:t>
      </w:r>
      <w:r>
        <w:rPr>
          <w:color w:val="000000"/>
          <w:sz w:val="22"/>
          <w:szCs w:val="22"/>
        </w:rPr>
        <w:t>, quando do não cumprimento de quaisquer das obrigações contratuais consideradas faltas leves, assim entendidas aquelas que não acarretam prejuízos significativos para o serviço contratado;</w:t>
      </w:r>
    </w:p>
    <w:p>
      <w:pPr>
        <w:pStyle w:val="Normal"/>
        <w:widowControl/>
        <w:suppressAutoHyphens w:val="true"/>
        <w:bidi w:val="0"/>
        <w:spacing w:lineRule="auto" w:line="276" w:before="120" w:after="120"/>
        <w:ind w:left="1134" w:right="0" w:hanging="0"/>
        <w:jc w:val="both"/>
        <w:rPr/>
      </w:pPr>
      <w:r>
        <w:rPr>
          <w:b/>
          <w:sz w:val="22"/>
          <w:szCs w:val="22"/>
        </w:rPr>
        <w:t xml:space="preserve">19.2.2 </w:t>
      </w:r>
      <w:r>
        <w:rPr>
          <w:b/>
          <w:color w:val="000000"/>
          <w:sz w:val="22"/>
          <w:szCs w:val="22"/>
        </w:rPr>
        <w:t>Multa de</w:t>
      </w:r>
      <w:r>
        <w:rPr>
          <w:color w:val="000000"/>
          <w:sz w:val="22"/>
          <w:szCs w:val="22"/>
        </w:rPr>
        <w:t xml:space="preserve">: </w:t>
      </w:r>
    </w:p>
    <w:p>
      <w:pPr>
        <w:pStyle w:val="Normal"/>
        <w:widowControl/>
        <w:numPr>
          <w:ilvl w:val="3"/>
          <w:numId w:val="5"/>
        </w:numPr>
        <w:suppressAutoHyphens w:val="true"/>
        <w:bidi w:val="0"/>
        <w:spacing w:lineRule="auto" w:line="276" w:before="120" w:after="120"/>
        <w:ind w:left="1701" w:right="0" w:hanging="0"/>
        <w:jc w:val="both"/>
        <w:rPr/>
      </w:pPr>
      <w:r>
        <w:rPr>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widowControl/>
        <w:numPr>
          <w:ilvl w:val="3"/>
          <w:numId w:val="5"/>
        </w:numPr>
        <w:suppressAutoHyphens w:val="true"/>
        <w:bidi w:val="0"/>
        <w:spacing w:lineRule="auto" w:line="276" w:before="120" w:after="120"/>
        <w:ind w:left="1701" w:right="0" w:hanging="0"/>
        <w:jc w:val="both"/>
        <w:rPr>
          <w:color w:val="000000"/>
          <w:sz w:val="22"/>
          <w:szCs w:val="22"/>
        </w:rPr>
      </w:pPr>
      <w:r>
        <w:rPr>
          <w:color w:val="000000"/>
          <w:sz w:val="22"/>
          <w:szCs w:val="22"/>
        </w:rPr>
        <w:t>0,1% (um décimo por cento) até 10% (dez por cento) sobre o valor adjudicado, em caso de atraso na execução do objeto, por período superior ao previsto no subitem acima, ou de inexecução parcial da obrigação assumida;</w:t>
      </w:r>
    </w:p>
    <w:p>
      <w:pPr>
        <w:pStyle w:val="Normal"/>
        <w:widowControl/>
        <w:numPr>
          <w:ilvl w:val="3"/>
          <w:numId w:val="5"/>
        </w:numPr>
        <w:suppressAutoHyphens w:val="true"/>
        <w:bidi w:val="0"/>
        <w:spacing w:lineRule="auto" w:line="276" w:before="120" w:after="120"/>
        <w:ind w:left="1701" w:right="0" w:hanging="0"/>
        <w:jc w:val="both"/>
        <w:rPr>
          <w:color w:val="000000"/>
          <w:sz w:val="22"/>
          <w:szCs w:val="22"/>
        </w:rPr>
      </w:pPr>
      <w:r>
        <w:rPr>
          <w:color w:val="000000"/>
          <w:sz w:val="22"/>
          <w:szCs w:val="22"/>
        </w:rPr>
        <w:t>0,1% (um décimo por cento) até 15% (quinze por cento) sobre o valor adjudicado, em caso de inexecução total da obrigação assumida;</w:t>
      </w:r>
    </w:p>
    <w:p>
      <w:pPr>
        <w:pStyle w:val="Normal"/>
        <w:widowControl/>
        <w:numPr>
          <w:ilvl w:val="3"/>
          <w:numId w:val="5"/>
        </w:numPr>
        <w:suppressAutoHyphens w:val="true"/>
        <w:bidi w:val="0"/>
        <w:spacing w:lineRule="auto" w:line="276" w:before="120" w:after="120"/>
        <w:ind w:left="1701" w:right="0" w:hanging="0"/>
        <w:jc w:val="both"/>
        <w:rPr>
          <w:color w:val="000000"/>
          <w:sz w:val="22"/>
          <w:szCs w:val="22"/>
        </w:rPr>
      </w:pPr>
      <w:r>
        <w:rPr>
          <w:color w:val="000000"/>
          <w:sz w:val="22"/>
          <w:szCs w:val="22"/>
        </w:rPr>
        <w:t xml:space="preserve">0,2% a 3,2% por dia sobre o valor mensal do contrato, conforme detalhamento constante das </w:t>
      </w:r>
      <w:r>
        <w:rPr>
          <w:b/>
          <w:color w:val="000000"/>
          <w:sz w:val="22"/>
          <w:szCs w:val="22"/>
        </w:rPr>
        <w:t>tabelas 1 e 2</w:t>
      </w:r>
      <w:r>
        <w:rPr>
          <w:color w:val="000000"/>
          <w:sz w:val="22"/>
          <w:szCs w:val="22"/>
        </w:rPr>
        <w:t>, abaixo; e</w:t>
      </w:r>
    </w:p>
    <w:p>
      <w:pPr>
        <w:pStyle w:val="Normal"/>
        <w:widowControl/>
        <w:numPr>
          <w:ilvl w:val="3"/>
          <w:numId w:val="5"/>
        </w:numPr>
        <w:suppressAutoHyphens w:val="true"/>
        <w:bidi w:val="0"/>
        <w:spacing w:lineRule="auto" w:line="276" w:before="120" w:after="120"/>
        <w:ind w:left="1701" w:right="0" w:hanging="0"/>
        <w:jc w:val="both"/>
        <w:rPr>
          <w:color w:val="000000"/>
          <w:sz w:val="22"/>
          <w:szCs w:val="22"/>
        </w:rPr>
      </w:pPr>
      <w:r>
        <w:rPr>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widowControl/>
        <w:numPr>
          <w:ilvl w:val="3"/>
          <w:numId w:val="5"/>
        </w:numPr>
        <w:suppressAutoHyphens w:val="true"/>
        <w:bidi w:val="0"/>
        <w:spacing w:lineRule="auto" w:line="276" w:before="120" w:after="120"/>
        <w:ind w:left="1701" w:right="0" w:hanging="0"/>
        <w:jc w:val="both"/>
        <w:rPr>
          <w:color w:val="000000"/>
          <w:sz w:val="22"/>
          <w:szCs w:val="22"/>
        </w:rPr>
      </w:pPr>
      <w:r>
        <w:rPr>
          <w:color w:val="000000"/>
          <w:sz w:val="22"/>
          <w:szCs w:val="22"/>
        </w:rPr>
        <w:t>as penalidades de multa decorrentes de fatos diversos serão consideradas independentes entre si.</w:t>
      </w:r>
    </w:p>
    <w:p>
      <w:pPr>
        <w:pStyle w:val="Normal"/>
        <w:widowControl/>
        <w:suppressAutoHyphens w:val="true"/>
        <w:bidi w:val="0"/>
        <w:spacing w:lineRule="auto" w:line="276" w:before="120" w:after="120"/>
        <w:ind w:left="1134" w:right="0" w:hanging="0"/>
        <w:jc w:val="both"/>
        <w:rPr/>
      </w:pPr>
      <w:r>
        <w:rPr>
          <w:sz w:val="22"/>
          <w:szCs w:val="22"/>
        </w:rPr>
        <w:t xml:space="preserve">19.2.3 </w:t>
      </w:r>
      <w:r>
        <w:rPr>
          <w:color w:val="000000"/>
          <w:sz w:val="22"/>
          <w:szCs w:val="22"/>
        </w:rPr>
        <w:t>Suspensão de licitar e impedimento de contratar com o órgão, entidade ou unidade administrativa pela qual a Administração Pública opera e atua concretamente, pelo prazo de até dois anos;</w:t>
      </w:r>
    </w:p>
    <w:p>
      <w:pPr>
        <w:pStyle w:val="Normal"/>
        <w:widowControl/>
        <w:suppressAutoHyphens w:val="true"/>
        <w:bidi w:val="0"/>
        <w:spacing w:lineRule="auto" w:line="276" w:before="120" w:after="120"/>
        <w:ind w:left="1134" w:right="0" w:hanging="0"/>
        <w:jc w:val="both"/>
        <w:rPr/>
      </w:pPr>
      <w:r>
        <w:rPr>
          <w:sz w:val="22"/>
          <w:szCs w:val="22"/>
        </w:rPr>
        <w:t xml:space="preserve">19.2.4 </w:t>
      </w:r>
      <w:r>
        <w:rPr>
          <w:color w:val="000000"/>
          <w:sz w:val="22"/>
          <w:szCs w:val="22"/>
        </w:rPr>
        <w:t>Sanção de impedimento de licitar e contratar com órgãos e entidades da União, com o consequente descredenciamento no SICAF pelo prazo de até cinco anos</w:t>
      </w:r>
    </w:p>
    <w:p>
      <w:pPr>
        <w:pStyle w:val="Normal"/>
        <w:widowControl/>
        <w:suppressAutoHyphens w:val="true"/>
        <w:bidi w:val="0"/>
        <w:spacing w:lineRule="auto" w:line="276" w:before="120" w:after="120"/>
        <w:ind w:left="1701" w:right="0" w:hanging="0"/>
        <w:jc w:val="both"/>
        <w:rPr/>
      </w:pPr>
      <w:r>
        <w:rPr>
          <w:sz w:val="22"/>
          <w:szCs w:val="22"/>
        </w:rPr>
        <w:t xml:space="preserve">19.2.4.1 </w:t>
      </w:r>
      <w:r>
        <w:rPr>
          <w:color w:val="000000"/>
          <w:sz w:val="22"/>
          <w:szCs w:val="22"/>
        </w:rPr>
        <w:t>A Sanção de impedimento de licitar e contratar prevista neste subitem também é aplicável em quaisquer das hipóteses previstas como infração administrativa no subitem 19.1 deste Termo de Referência.</w:t>
      </w:r>
    </w:p>
    <w:p>
      <w:pPr>
        <w:pStyle w:val="Normal"/>
        <w:widowControl/>
        <w:suppressAutoHyphens w:val="true"/>
        <w:bidi w:val="0"/>
        <w:spacing w:lineRule="auto" w:line="276" w:before="120" w:after="120"/>
        <w:ind w:left="1134" w:right="0" w:hanging="0"/>
        <w:jc w:val="both"/>
        <w:rPr/>
      </w:pPr>
      <w:r>
        <w:rPr>
          <w:sz w:val="22"/>
          <w:szCs w:val="22"/>
        </w:rPr>
        <w:t xml:space="preserve">19.2.5 </w:t>
      </w:r>
      <w:r>
        <w:rPr>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widowControl/>
        <w:numPr>
          <w:ilvl w:val="1"/>
          <w:numId w:val="5"/>
        </w:numPr>
        <w:suppressAutoHyphens w:val="true"/>
        <w:bidi w:val="0"/>
        <w:spacing w:lineRule="auto" w:line="276" w:before="120" w:after="120"/>
        <w:ind w:left="0" w:right="0" w:hanging="0"/>
        <w:jc w:val="both"/>
        <w:rPr/>
      </w:pPr>
      <w:r>
        <w:rPr>
          <w:sz w:val="22"/>
          <w:szCs w:val="22"/>
        </w:rPr>
        <w:t xml:space="preserve">As sanções previstas nos subitens </w:t>
      </w:r>
      <w:r>
        <w:rPr>
          <w:b/>
          <w:bCs/>
          <w:sz w:val="22"/>
          <w:szCs w:val="22"/>
        </w:rPr>
        <w:t>19.2.1, 19.2.3, 19.2.4 e 19.2.5</w:t>
      </w:r>
      <w:r>
        <w:rPr>
          <w:sz w:val="22"/>
          <w:szCs w:val="22"/>
        </w:rPr>
        <w:t xml:space="preserve"> poderão ser aplicadas à CONTRATADA juntamente com as de multa, descontando-a dos pagamentos a serem efetuados.</w:t>
      </w:r>
    </w:p>
    <w:p>
      <w:pPr>
        <w:pStyle w:val="Normal"/>
        <w:widowControl/>
        <w:numPr>
          <w:ilvl w:val="1"/>
          <w:numId w:val="5"/>
        </w:numPr>
        <w:suppressAutoHyphens w:val="true"/>
        <w:bidi w:val="0"/>
        <w:spacing w:lineRule="auto" w:line="276" w:before="120" w:after="120"/>
        <w:ind w:left="0" w:right="0" w:hanging="0"/>
        <w:jc w:val="both"/>
        <w:rPr/>
      </w:pPr>
      <w:r>
        <w:rPr>
          <w:sz w:val="22"/>
          <w:szCs w:val="22"/>
        </w:rPr>
        <w:t>Para efeito de aplicação de multas, às infrações são atribuídos graus, de acordo com as tabelas 1 e 2:</w:t>
      </w:r>
    </w:p>
    <w:p>
      <w:pPr>
        <w:pStyle w:val="Normal"/>
        <w:spacing w:lineRule="auto" w:line="276" w:before="120" w:after="120"/>
        <w:ind w:right="-30" w:hanging="0"/>
        <w:jc w:val="center"/>
        <w:rPr>
          <w:b/>
          <w:b/>
          <w:sz w:val="22"/>
          <w:szCs w:val="22"/>
        </w:rPr>
      </w:pPr>
      <w:r>
        <w:rPr>
          <w:b/>
          <w:sz w:val="22"/>
          <w:szCs w:val="22"/>
        </w:rPr>
      </w:r>
    </w:p>
    <w:p>
      <w:pPr>
        <w:pStyle w:val="Normal"/>
        <w:spacing w:lineRule="auto" w:line="276" w:before="120" w:after="120"/>
        <w:ind w:right="-30" w:hanging="0"/>
        <w:jc w:val="center"/>
        <w:rPr>
          <w:b/>
          <w:b/>
          <w:sz w:val="22"/>
          <w:szCs w:val="22"/>
        </w:rPr>
      </w:pPr>
      <w:r>
        <w:rPr>
          <w:b/>
          <w:sz w:val="22"/>
          <w:szCs w:val="22"/>
        </w:rPr>
        <w:t>Tabela 1</w:t>
      </w:r>
    </w:p>
    <w:tbl>
      <w:tblPr>
        <w:tblW w:w="9075" w:type="dxa"/>
        <w:jc w:val="left"/>
        <w:tblInd w:w="37" w:type="dxa"/>
        <w:tblCellMar>
          <w:top w:w="0" w:type="dxa"/>
          <w:left w:w="92" w:type="dxa"/>
          <w:bottom w:w="0" w:type="dxa"/>
          <w:right w:w="108" w:type="dxa"/>
        </w:tblCellMar>
        <w:tblLook w:firstRow="0" w:noVBand="0" w:lastRow="0" w:firstColumn="0" w:lastColumn="0" w:noHBand="0" w:val="0000"/>
      </w:tblPr>
      <w:tblGrid>
        <w:gridCol w:w="3699"/>
        <w:gridCol w:w="5375"/>
      </w:tblGrid>
      <w:tr>
        <w:trPr>
          <w:trHeight w:val="180" w:hRule="atLeast"/>
        </w:trPr>
        <w:tc>
          <w:tcPr>
            <w:tcW w:w="369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b/>
                <w:sz w:val="22"/>
                <w:szCs w:val="22"/>
              </w:rPr>
              <w:t>GRAU</w:t>
            </w:r>
          </w:p>
        </w:tc>
        <w:tc>
          <w:tcPr>
            <w:tcW w:w="5375"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b/>
                <w:sz w:val="22"/>
                <w:szCs w:val="22"/>
              </w:rPr>
              <w:t>CORRESPONDÊNCIA</w:t>
            </w:r>
          </w:p>
        </w:tc>
      </w:tr>
      <w:tr>
        <w:trPr/>
        <w:tc>
          <w:tcPr>
            <w:tcW w:w="3699"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1</w:t>
            </w:r>
          </w:p>
        </w:tc>
        <w:tc>
          <w:tcPr>
            <w:tcW w:w="5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0,2% ao dia sobre o valor mensal do contrato</w:t>
            </w:r>
          </w:p>
        </w:tc>
      </w:tr>
      <w:tr>
        <w:trPr/>
        <w:tc>
          <w:tcPr>
            <w:tcW w:w="3699"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2</w:t>
            </w:r>
          </w:p>
        </w:tc>
        <w:tc>
          <w:tcPr>
            <w:tcW w:w="5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0,4% ao dia sobre o valor mensal do contrato</w:t>
            </w:r>
          </w:p>
        </w:tc>
      </w:tr>
      <w:tr>
        <w:trPr/>
        <w:tc>
          <w:tcPr>
            <w:tcW w:w="3699"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3</w:t>
            </w:r>
          </w:p>
        </w:tc>
        <w:tc>
          <w:tcPr>
            <w:tcW w:w="5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0,8% ao dia sobre o valor mensal do contrato</w:t>
            </w:r>
          </w:p>
        </w:tc>
      </w:tr>
      <w:tr>
        <w:trPr/>
        <w:tc>
          <w:tcPr>
            <w:tcW w:w="3699"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4</w:t>
            </w:r>
          </w:p>
        </w:tc>
        <w:tc>
          <w:tcPr>
            <w:tcW w:w="5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1,6% ao dia sobre o valor mensal do contrato</w:t>
            </w:r>
          </w:p>
        </w:tc>
      </w:tr>
      <w:tr>
        <w:trPr/>
        <w:tc>
          <w:tcPr>
            <w:tcW w:w="3699"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5</w:t>
            </w:r>
          </w:p>
        </w:tc>
        <w:tc>
          <w:tcPr>
            <w:tcW w:w="5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sz w:val="22"/>
                <w:szCs w:val="22"/>
              </w:rPr>
              <w:t>3,2% ao dia sobre o valor mensal do contrato</w:t>
            </w:r>
          </w:p>
        </w:tc>
      </w:tr>
    </w:tbl>
    <w:p>
      <w:pPr>
        <w:pStyle w:val="Normal"/>
        <w:spacing w:lineRule="auto" w:line="276" w:before="120" w:after="120"/>
        <w:ind w:right="-30" w:hanging="0"/>
        <w:jc w:val="center"/>
        <w:rPr>
          <w:sz w:val="22"/>
          <w:szCs w:val="22"/>
        </w:rPr>
      </w:pPr>
      <w:r>
        <w:rPr>
          <w:b/>
          <w:sz w:val="22"/>
          <w:szCs w:val="22"/>
        </w:rPr>
        <w:t>Tabela 2</w:t>
      </w:r>
    </w:p>
    <w:tbl>
      <w:tblPr>
        <w:tblW w:w="9088" w:type="dxa"/>
        <w:jc w:val="left"/>
        <w:tblInd w:w="37" w:type="dxa"/>
        <w:tblCellMar>
          <w:top w:w="0" w:type="dxa"/>
          <w:left w:w="92" w:type="dxa"/>
          <w:bottom w:w="0" w:type="dxa"/>
          <w:right w:w="108" w:type="dxa"/>
        </w:tblCellMar>
        <w:tblLook w:firstRow="0" w:noVBand="0" w:lastRow="0" w:firstColumn="0" w:lastColumn="0" w:noHBand="0" w:val="0000"/>
      </w:tblPr>
      <w:tblGrid>
        <w:gridCol w:w="1413"/>
        <w:gridCol w:w="6375"/>
        <w:gridCol w:w="1300"/>
      </w:tblGrid>
      <w:tr>
        <w:trPr>
          <w:trHeight w:val="60" w:hRule="atLeast"/>
        </w:trPr>
        <w:tc>
          <w:tcPr>
            <w:tcW w:w="9088" w:type="dxa"/>
            <w:gridSpan w:val="3"/>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b/>
                <w:sz w:val="22"/>
                <w:szCs w:val="22"/>
              </w:rPr>
              <w:t>INFRAÇÃO</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b/>
                <w:sz w:val="22"/>
                <w:szCs w:val="22"/>
              </w:rPr>
              <w:t>ITEM</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center"/>
              <w:rPr>
                <w:sz w:val="22"/>
                <w:szCs w:val="22"/>
              </w:rPr>
            </w:pPr>
            <w:r>
              <w:rPr>
                <w:b/>
                <w:sz w:val="22"/>
                <w:szCs w:val="22"/>
              </w:rPr>
              <w:t>DESCRIÇÃO</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b/>
                <w:sz w:val="22"/>
                <w:szCs w:val="22"/>
              </w:rPr>
              <w:t>GRAU</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1</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Permitir situação que crie a possibilidade de causar dano físico, lesão corporal ou conseqüências letais, por ocorrência;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05</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2</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Suspender ou interromper, salvo motivo de força maior ou caso fortuito, os serviços contratuais por dia e por unidade de atendimento;</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04</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3</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Manter funcionário sem qualificação para executar os serviços contratados, por empregado e por dia;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03</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4</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Recusar-se a executar serviço determinado pela fiscalização, por serviço e por dia;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02</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5</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Retirar funcionários ou encarregados do serviço durante o expediente, sem a anuência prévia do CONTRATANTE, por empregado e por dia;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03</w:t>
            </w:r>
          </w:p>
        </w:tc>
      </w:tr>
      <w:tr>
        <w:trPr>
          <w:trHeight w:val="225" w:hRule="atLeast"/>
        </w:trPr>
        <w:tc>
          <w:tcPr>
            <w:tcW w:w="9088" w:type="dxa"/>
            <w:gridSpan w:val="3"/>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both"/>
              <w:rPr/>
            </w:pPr>
            <w:r>
              <w:rPr>
                <w:b/>
              </w:rPr>
              <w:t>Para os itens a seguir, deixar de:</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6</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Registrar e controlar, diariamente, a assiduidade e a pontualidade de seu pessoal, por funcionário e por dia;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01</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7</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Cumprir determinação formal ou instrução complementar do órgão fiscalizador, por ocorrência;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02</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8</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Substituir empregado que se conduza de modo inconveniente ou não atenda às necessidades do serviço, por funcionário e por dia;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01</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9</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Cumprir quaisquer dos itens do Edital e seus Anexos não previstos nesta tabela de multas, após reincidência formalmente notificada pelo órgão fiscalizador, por item e por ocorrência;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03</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10</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Indicar e manter durante a execução do contrato os prepostos previstos no edital/contrato;</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01</w:t>
            </w:r>
          </w:p>
        </w:tc>
      </w:tr>
      <w:tr>
        <w:trPr/>
        <w:tc>
          <w:tcPr>
            <w:tcW w:w="1413"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11</w:t>
            </w:r>
          </w:p>
        </w:tc>
        <w:tc>
          <w:tcPr>
            <w:tcW w:w="637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120" w:after="120"/>
              <w:ind w:right="-30" w:hanging="0"/>
              <w:jc w:val="both"/>
              <w:rPr/>
            </w:pPr>
            <w:r>
              <w:rPr/>
              <w:t>Providenciar treinamento para seus funcionários conforme previsto na relação de obrigações da CONTRATADA</w:t>
            </w:r>
          </w:p>
        </w:tc>
        <w:tc>
          <w:tcPr>
            <w:tcW w:w="130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spacing w:lineRule="auto" w:line="276" w:before="120" w:after="120"/>
              <w:ind w:right="-30" w:hanging="0"/>
              <w:jc w:val="center"/>
              <w:rPr>
                <w:sz w:val="22"/>
                <w:szCs w:val="22"/>
              </w:rPr>
            </w:pPr>
            <w:r>
              <w:rPr>
                <w:sz w:val="22"/>
                <w:szCs w:val="22"/>
              </w:rPr>
              <w:t>01</w:t>
            </w:r>
          </w:p>
        </w:tc>
      </w:tr>
    </w:tbl>
    <w:p>
      <w:pPr>
        <w:pStyle w:val="Normal"/>
        <w:widowControl/>
        <w:numPr>
          <w:ilvl w:val="1"/>
          <w:numId w:val="5"/>
        </w:numPr>
        <w:suppressAutoHyphens w:val="true"/>
        <w:bidi w:val="0"/>
        <w:spacing w:lineRule="auto" w:line="276" w:before="120" w:after="120"/>
        <w:ind w:left="0" w:right="0" w:hanging="0"/>
        <w:jc w:val="both"/>
        <w:rPr/>
      </w:pPr>
      <w:r>
        <w:rPr>
          <w:sz w:val="22"/>
          <w:szCs w:val="22"/>
        </w:rPr>
        <w:t>Também ficam sujeitas às penalidades do art. 87, III e IV da Lei nº 8.666, de 1993, as empresas ou profissionais que:</w:t>
      </w:r>
    </w:p>
    <w:p>
      <w:pPr>
        <w:pStyle w:val="Normal"/>
        <w:widowControl/>
        <w:suppressAutoHyphens w:val="true"/>
        <w:bidi w:val="0"/>
        <w:spacing w:lineRule="auto" w:line="276" w:before="120" w:after="120"/>
        <w:ind w:left="510" w:right="0" w:hanging="0"/>
        <w:jc w:val="both"/>
        <w:rPr>
          <w:sz w:val="22"/>
          <w:szCs w:val="22"/>
        </w:rPr>
      </w:pPr>
      <w:r>
        <w:rPr>
          <w:b/>
          <w:bCs/>
          <w:sz w:val="22"/>
          <w:szCs w:val="22"/>
        </w:rPr>
        <w:t>19.5.1.</w:t>
      </w:r>
      <w:r>
        <w:rPr>
          <w:sz w:val="22"/>
          <w:szCs w:val="22"/>
        </w:rPr>
        <w:t xml:space="preserve"> tenham sofrido condenação definitiva por praticar, por meio dolosos, fraude fiscal no recolhimento de quaisquer tributos;</w:t>
      </w:r>
    </w:p>
    <w:p>
      <w:pPr>
        <w:pStyle w:val="Normal"/>
        <w:widowControl/>
        <w:suppressAutoHyphens w:val="true"/>
        <w:bidi w:val="0"/>
        <w:spacing w:lineRule="auto" w:line="276" w:before="120" w:after="120"/>
        <w:ind w:left="510" w:right="0" w:hanging="0"/>
        <w:jc w:val="both"/>
        <w:rPr>
          <w:sz w:val="22"/>
          <w:szCs w:val="22"/>
        </w:rPr>
      </w:pPr>
      <w:r>
        <w:rPr>
          <w:b/>
          <w:bCs/>
          <w:sz w:val="22"/>
          <w:szCs w:val="22"/>
        </w:rPr>
        <w:t>19.5.2.</w:t>
      </w:r>
      <w:r>
        <w:rPr>
          <w:sz w:val="22"/>
          <w:szCs w:val="22"/>
        </w:rPr>
        <w:t xml:space="preserve"> tenham praticado atos ilícitos visando a frustrar os objetivos da licitação;</w:t>
      </w:r>
    </w:p>
    <w:p>
      <w:pPr>
        <w:pStyle w:val="Normal"/>
        <w:widowControl/>
        <w:suppressAutoHyphens w:val="true"/>
        <w:bidi w:val="0"/>
        <w:spacing w:lineRule="auto" w:line="276" w:before="120" w:after="120"/>
        <w:ind w:left="510" w:right="0" w:hanging="0"/>
        <w:jc w:val="both"/>
        <w:rPr>
          <w:sz w:val="22"/>
          <w:szCs w:val="22"/>
        </w:rPr>
      </w:pPr>
      <w:r>
        <w:rPr>
          <w:b/>
          <w:bCs/>
          <w:sz w:val="22"/>
          <w:szCs w:val="22"/>
        </w:rPr>
        <w:t xml:space="preserve">19.5.3. </w:t>
      </w:r>
      <w:r>
        <w:rPr>
          <w:sz w:val="22"/>
          <w:szCs w:val="22"/>
        </w:rPr>
        <w:t xml:space="preserve">demonstrem não possuir idoneidade para contratar com a Administração em virtude de atos ilícitos praticados. </w:t>
      </w:r>
    </w:p>
    <w:p>
      <w:pPr>
        <w:pStyle w:val="Normal"/>
        <w:widowControl/>
        <w:numPr>
          <w:ilvl w:val="1"/>
          <w:numId w:val="5"/>
        </w:numPr>
        <w:suppressAutoHyphens w:val="true"/>
        <w:bidi w:val="0"/>
        <w:spacing w:lineRule="auto" w:line="276" w:before="120" w:after="120"/>
        <w:ind w:left="0" w:right="0" w:hanging="0"/>
        <w:jc w:val="both"/>
        <w:rPr/>
      </w:pPr>
      <w:r>
        <w:rPr>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widowControl/>
        <w:numPr>
          <w:ilvl w:val="1"/>
          <w:numId w:val="5"/>
        </w:numPr>
        <w:suppressAutoHyphens w:val="true"/>
        <w:bidi w:val="0"/>
        <w:spacing w:lineRule="auto" w:line="276" w:before="120" w:after="120"/>
        <w:ind w:left="0" w:right="0" w:hanging="0"/>
        <w:jc w:val="both"/>
        <w:rPr/>
      </w:pPr>
      <w:r>
        <w:rPr>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widowControl/>
        <w:suppressAutoHyphens w:val="true"/>
        <w:bidi w:val="0"/>
        <w:spacing w:lineRule="auto" w:line="276" w:before="120" w:after="120"/>
        <w:ind w:left="567" w:right="0" w:hanging="0"/>
        <w:jc w:val="both"/>
        <w:rPr/>
      </w:pPr>
      <w:r>
        <w:rPr>
          <w:sz w:val="22"/>
          <w:szCs w:val="22"/>
        </w:rPr>
        <w:t>19.7.1. Caso a Contratante determine, a multa deverá ser recolhida no prazo máximo de 10 (dez) dias, a contar da data do recebimento da comunicação enviada pela autoridade competente.</w:t>
      </w:r>
    </w:p>
    <w:p>
      <w:pPr>
        <w:pStyle w:val="Normal"/>
        <w:widowControl/>
        <w:numPr>
          <w:ilvl w:val="1"/>
          <w:numId w:val="5"/>
        </w:numPr>
        <w:suppressAutoHyphens w:val="true"/>
        <w:bidi w:val="0"/>
        <w:spacing w:lineRule="auto" w:line="276" w:before="120" w:after="120"/>
        <w:ind w:left="0" w:right="0" w:hanging="0"/>
        <w:jc w:val="both"/>
        <w:rPr/>
      </w:pPr>
      <w:r>
        <w:rPr>
          <w:sz w:val="22"/>
          <w:szCs w:val="22"/>
        </w:rPr>
        <w:t>Caso o valor da multa não seja suficiente para cobrir os prejuízos causados pela conduta do licitante, a União ou Entidade poderá cobrar o valor remanescente judicialmente, conforme artigo 419 do Código Civil.</w:t>
      </w:r>
    </w:p>
    <w:p>
      <w:pPr>
        <w:pStyle w:val="Normal"/>
        <w:widowControl/>
        <w:numPr>
          <w:ilvl w:val="1"/>
          <w:numId w:val="5"/>
        </w:numPr>
        <w:suppressAutoHyphens w:val="true"/>
        <w:bidi w:val="0"/>
        <w:spacing w:lineRule="auto" w:line="276" w:before="120" w:after="120"/>
        <w:ind w:left="0" w:right="0" w:hanging="0"/>
        <w:jc w:val="both"/>
        <w:rPr/>
      </w:pPr>
      <w:r>
        <w:rPr>
          <w:sz w:val="22"/>
          <w:szCs w:val="22"/>
        </w:rPr>
        <w:t>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numPr>
          <w:ilvl w:val="1"/>
          <w:numId w:val="5"/>
        </w:numPr>
        <w:suppressAutoHyphens w:val="true"/>
        <w:bidi w:val="0"/>
        <w:spacing w:lineRule="auto" w:line="276" w:before="120" w:after="120"/>
        <w:ind w:left="0" w:right="0" w:hanging="0"/>
        <w:jc w:val="both"/>
        <w:rPr/>
      </w:pPr>
      <w:r>
        <w:rPr>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widowControl/>
        <w:numPr>
          <w:ilvl w:val="1"/>
          <w:numId w:val="5"/>
        </w:numPr>
        <w:suppressAutoHyphens w:val="true"/>
        <w:bidi w:val="0"/>
        <w:spacing w:lineRule="auto" w:line="276" w:before="120" w:after="120"/>
        <w:ind w:left="0" w:right="0" w:hanging="0"/>
        <w:jc w:val="both"/>
        <w:rPr/>
      </w:pPr>
      <w:r>
        <w:rPr>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widowControl/>
        <w:numPr>
          <w:ilvl w:val="1"/>
          <w:numId w:val="5"/>
        </w:numPr>
        <w:suppressAutoHyphens w:val="true"/>
        <w:bidi w:val="0"/>
        <w:spacing w:lineRule="auto" w:line="276" w:before="120" w:after="120"/>
        <w:ind w:left="0" w:right="0" w:hanging="0"/>
        <w:jc w:val="both"/>
        <w:rPr/>
      </w:pPr>
      <w:r>
        <w:rPr>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widowControl/>
        <w:numPr>
          <w:ilvl w:val="1"/>
          <w:numId w:val="5"/>
        </w:numPr>
        <w:suppressAutoHyphens w:val="true"/>
        <w:bidi w:val="0"/>
        <w:spacing w:lineRule="auto" w:line="276" w:before="120" w:after="120"/>
        <w:ind w:left="0" w:right="0" w:hanging="0"/>
        <w:jc w:val="both"/>
        <w:rPr/>
      </w:pPr>
      <w:r>
        <w:rPr>
          <w:sz w:val="22"/>
          <w:szCs w:val="22"/>
        </w:rPr>
        <w:t>As penalidades serão obrigatoriamente registradas no SICAF.</w:t>
      </w:r>
    </w:p>
    <w:p>
      <w:pPr>
        <w:pStyle w:val="Normal"/>
        <w:spacing w:lineRule="auto" w:line="276" w:before="120" w:after="120"/>
        <w:ind w:left="792" w:right="-30" w:hanging="0"/>
        <w:jc w:val="both"/>
        <w:rPr>
          <w:sz w:val="22"/>
          <w:szCs w:val="22"/>
        </w:rPr>
      </w:pPr>
      <w:r>
        <w:rPr>
          <w:sz w:val="22"/>
          <w:szCs w:val="22"/>
        </w:rPr>
      </w:r>
    </w:p>
    <w:p>
      <w:pPr>
        <w:pStyle w:val="Normal"/>
        <w:widowControl/>
        <w:numPr>
          <w:ilvl w:val="0"/>
          <w:numId w:val="5"/>
        </w:numPr>
        <w:suppressAutoHyphens w:val="true"/>
        <w:bidi w:val="0"/>
        <w:spacing w:lineRule="auto" w:line="276" w:before="120" w:after="0"/>
        <w:ind w:left="0" w:right="0" w:hanging="0"/>
        <w:jc w:val="both"/>
        <w:rPr/>
      </w:pPr>
      <w:r>
        <w:rPr>
          <w:b/>
          <w:color w:val="000000"/>
          <w:sz w:val="22"/>
          <w:szCs w:val="22"/>
        </w:rPr>
        <w:t>CRITÉRIOS DE SELEÇÃO DO FORNECEDOR.</w:t>
      </w:r>
    </w:p>
    <w:p>
      <w:pPr>
        <w:pStyle w:val="Normal"/>
        <w:spacing w:lineRule="auto" w:line="276" w:before="0" w:after="120"/>
        <w:ind w:left="360" w:right="-30" w:hanging="0"/>
        <w:jc w:val="both"/>
        <w:rPr>
          <w:b/>
          <w:b/>
          <w:color w:val="000000"/>
          <w:sz w:val="22"/>
          <w:szCs w:val="22"/>
        </w:rPr>
      </w:pPr>
      <w:r>
        <w:rPr>
          <w:b/>
          <w:color w:val="000000"/>
          <w:sz w:val="22"/>
          <w:szCs w:val="22"/>
        </w:rPr>
      </w:r>
    </w:p>
    <w:p>
      <w:pPr>
        <w:pStyle w:val="Normal"/>
        <w:widowControl/>
        <w:numPr>
          <w:ilvl w:val="1"/>
          <w:numId w:val="5"/>
        </w:numPr>
        <w:suppressAutoHyphens w:val="true"/>
        <w:bidi w:val="0"/>
        <w:spacing w:lineRule="auto" w:line="276" w:before="120" w:after="120"/>
        <w:ind w:left="0" w:right="0" w:hanging="0"/>
        <w:jc w:val="both"/>
        <w:rPr>
          <w:sz w:val="22"/>
          <w:szCs w:val="22"/>
        </w:rPr>
      </w:pPr>
      <w:r>
        <w:rPr>
          <w:sz w:val="22"/>
          <w:szCs w:val="22"/>
        </w:rPr>
        <w:t>As exigências de habilitação jurídica e de regularidade fiscal e trabalhista são as usuais para a generalidade dos objetos, conforme disciplinado no edital.</w:t>
      </w:r>
    </w:p>
    <w:p>
      <w:pPr>
        <w:pStyle w:val="Normal"/>
        <w:widowControl/>
        <w:numPr>
          <w:ilvl w:val="1"/>
          <w:numId w:val="5"/>
        </w:numPr>
        <w:suppressAutoHyphens w:val="true"/>
        <w:bidi w:val="0"/>
        <w:spacing w:lineRule="auto" w:line="276" w:before="120" w:after="120"/>
        <w:ind w:left="0" w:right="0" w:hanging="0"/>
        <w:jc w:val="both"/>
        <w:rPr>
          <w:sz w:val="22"/>
          <w:szCs w:val="22"/>
        </w:rPr>
      </w:pPr>
      <w:r>
        <w:rPr>
          <w:sz w:val="22"/>
          <w:szCs w:val="22"/>
        </w:rPr>
        <w:t>Os critérios de qualificação econômica a serem atendidos pelo fornecedor estão previstos no edital.</w:t>
      </w:r>
    </w:p>
    <w:p>
      <w:pPr>
        <w:pStyle w:val="Normal"/>
        <w:widowControl/>
        <w:numPr>
          <w:ilvl w:val="1"/>
          <w:numId w:val="5"/>
        </w:numPr>
        <w:suppressAutoHyphens w:val="true"/>
        <w:bidi w:val="0"/>
        <w:spacing w:lineRule="auto" w:line="276" w:before="120" w:after="120"/>
        <w:ind w:left="0" w:right="0" w:hanging="0"/>
        <w:jc w:val="both"/>
        <w:rPr>
          <w:sz w:val="22"/>
          <w:szCs w:val="22"/>
        </w:rPr>
      </w:pPr>
      <w:r>
        <w:rPr>
          <w:sz w:val="22"/>
          <w:szCs w:val="22"/>
        </w:rPr>
        <w:t>Os critérios de qualificação técnica a serem atendidos pelo fornecedor serão:</w:t>
      </w:r>
    </w:p>
    <w:p>
      <w:pPr>
        <w:pStyle w:val="Normal"/>
        <w:widowControl/>
        <w:suppressAutoHyphens w:val="true"/>
        <w:bidi w:val="0"/>
        <w:spacing w:lineRule="auto" w:line="276" w:before="120" w:after="120"/>
        <w:ind w:left="567" w:right="0" w:hanging="0"/>
        <w:jc w:val="both"/>
        <w:rPr/>
      </w:pPr>
      <w:r>
        <w:rPr>
          <w:sz w:val="22"/>
          <w:szCs w:val="22"/>
        </w:rPr>
        <w:t xml:space="preserve"> </w:t>
      </w:r>
      <w:r>
        <w:rPr>
          <w:b/>
          <w:bCs/>
          <w:sz w:val="22"/>
          <w:szCs w:val="22"/>
        </w:rPr>
        <w:t>22.3.1</w:t>
      </w:r>
      <w:r>
        <w:rPr>
          <w:sz w:val="22"/>
          <w:szCs w:val="22"/>
        </w:rPr>
        <w:t xml:space="preserve"> Apresentação de Atestados de Capacidade Técnica, para a prestação dos serviços e características, quantidades e prazos compatíveis com o objeto da licitação, ou com o item pertinente, por período não anterior a três anos, fornecidos(as) por pessoas jurídicas de direito público ou privado.</w:t>
      </w:r>
    </w:p>
    <w:p>
      <w:pPr>
        <w:pStyle w:val="Normal"/>
        <w:widowControl/>
        <w:numPr>
          <w:ilvl w:val="1"/>
          <w:numId w:val="3"/>
        </w:numPr>
        <w:suppressAutoHyphens w:val="true"/>
        <w:bidi w:val="0"/>
        <w:spacing w:lineRule="auto" w:line="276" w:before="120" w:after="0"/>
        <w:ind w:left="0" w:right="0" w:hanging="0"/>
        <w:jc w:val="both"/>
        <w:rPr/>
      </w:pPr>
      <w:r>
        <w:rPr>
          <w:sz w:val="22"/>
          <w:szCs w:val="22"/>
        </w:rPr>
        <w:t xml:space="preserve"> </w:t>
      </w:r>
      <w:r>
        <w:rPr>
          <w:color w:val="000000"/>
          <w:sz w:val="22"/>
          <w:szCs w:val="22"/>
        </w:rPr>
        <w:t>Os critérios de aceitabilidade de preços serão:</w:t>
      </w:r>
    </w:p>
    <w:p>
      <w:pPr>
        <w:pStyle w:val="Normal"/>
        <w:spacing w:lineRule="auto" w:line="276"/>
        <w:ind w:left="851" w:right="-30" w:hanging="0"/>
        <w:jc w:val="both"/>
        <w:rPr>
          <w:color w:val="000000"/>
          <w:sz w:val="22"/>
          <w:szCs w:val="22"/>
        </w:rPr>
      </w:pPr>
      <w:r>
        <w:rPr>
          <w:color w:val="000000"/>
          <w:sz w:val="22"/>
          <w:szCs w:val="22"/>
        </w:rPr>
      </w:r>
    </w:p>
    <w:p>
      <w:pPr>
        <w:pStyle w:val="Normal"/>
        <w:widowControl/>
        <w:numPr>
          <w:ilvl w:val="2"/>
          <w:numId w:val="3"/>
        </w:numPr>
        <w:suppressAutoHyphens w:val="true"/>
        <w:bidi w:val="0"/>
        <w:spacing w:lineRule="auto" w:line="276" w:before="0" w:after="0"/>
        <w:ind w:left="567" w:right="0" w:hanging="0"/>
        <w:jc w:val="both"/>
        <w:rPr>
          <w:color w:val="000000"/>
        </w:rPr>
      </w:pPr>
      <w:r>
        <w:rPr>
          <w:color w:val="000000"/>
          <w:sz w:val="22"/>
          <w:szCs w:val="22"/>
        </w:rPr>
        <w:t xml:space="preserve">Valor Global: </w:t>
      </w:r>
      <w:bookmarkStart w:id="5" w:name="__DdeLink__6921_2783592877"/>
      <w:r>
        <w:rPr>
          <w:b/>
          <w:color w:val="000000"/>
          <w:sz w:val="22"/>
          <w:szCs w:val="22"/>
        </w:rPr>
        <w:t xml:space="preserve">R$ </w:t>
      </w:r>
      <w:r>
        <w:rPr>
          <w:b/>
          <w:bCs/>
          <w:color w:val="000000"/>
          <w:sz w:val="22"/>
          <w:szCs w:val="22"/>
        </w:rPr>
        <w:t>1.349.107.56</w:t>
      </w:r>
      <w:r>
        <w:rPr>
          <w:b/>
          <w:color w:val="000000"/>
          <w:sz w:val="22"/>
          <w:szCs w:val="22"/>
        </w:rPr>
        <w:t>(um milhão, trezentos e quarenta e nove mil, cento e sete reais e cinquenta e seis centavos).</w:t>
      </w:r>
      <w:bookmarkEnd w:id="5"/>
      <w:r>
        <w:rPr>
          <w:color w:val="000000"/>
          <w:sz w:val="22"/>
          <w:szCs w:val="22"/>
        </w:rPr>
        <w:t xml:space="preserve"> </w:t>
      </w:r>
    </w:p>
    <w:p>
      <w:pPr>
        <w:pStyle w:val="Normal"/>
        <w:spacing w:lineRule="auto" w:line="276"/>
        <w:ind w:left="2127" w:right="-30" w:hanging="0"/>
        <w:jc w:val="both"/>
        <w:rPr>
          <w:color w:val="000000"/>
          <w:sz w:val="22"/>
          <w:szCs w:val="22"/>
        </w:rPr>
      </w:pPr>
      <w:r>
        <w:rPr>
          <w:color w:val="000000"/>
          <w:sz w:val="22"/>
          <w:szCs w:val="22"/>
        </w:rPr>
      </w:r>
    </w:p>
    <w:p>
      <w:pPr>
        <w:pStyle w:val="Normal"/>
        <w:widowControl/>
        <w:numPr>
          <w:ilvl w:val="2"/>
          <w:numId w:val="3"/>
        </w:numPr>
        <w:suppressAutoHyphens w:val="true"/>
        <w:bidi w:val="0"/>
        <w:spacing w:lineRule="auto" w:line="276" w:before="0" w:after="0"/>
        <w:ind w:left="567" w:right="0" w:hanging="0"/>
        <w:jc w:val="both"/>
        <w:rPr/>
      </w:pPr>
      <w:r>
        <w:rPr>
          <w:color w:val="000000"/>
          <w:sz w:val="22"/>
          <w:szCs w:val="22"/>
        </w:rPr>
        <w:t xml:space="preserve">Valores unitários: conforme </w:t>
      </w:r>
      <w:r>
        <w:rPr>
          <w:b/>
          <w:color w:val="000000"/>
          <w:sz w:val="22"/>
          <w:szCs w:val="22"/>
        </w:rPr>
        <w:t>Planilha de Valor de Referência, Anexo I/</w:t>
      </w:r>
      <w:r>
        <w:rPr>
          <w:b/>
          <w:sz w:val="22"/>
          <w:szCs w:val="22"/>
        </w:rPr>
        <w:t>C</w:t>
      </w:r>
      <w:r>
        <w:rPr>
          <w:b/>
          <w:color w:val="000000"/>
          <w:sz w:val="22"/>
          <w:szCs w:val="22"/>
        </w:rPr>
        <w:t xml:space="preserve"> deste Termo.</w:t>
      </w:r>
      <w:r>
        <w:rPr>
          <w:color w:val="000000"/>
          <w:sz w:val="22"/>
          <w:szCs w:val="22"/>
        </w:rPr>
        <w:t xml:space="preserve"> </w:t>
      </w:r>
    </w:p>
    <w:p>
      <w:pPr>
        <w:pStyle w:val="Normal"/>
        <w:spacing w:lineRule="auto" w:line="276"/>
        <w:ind w:left="709" w:right="-30" w:hanging="0"/>
        <w:jc w:val="both"/>
        <w:rPr>
          <w:color w:val="000000"/>
          <w:sz w:val="22"/>
          <w:szCs w:val="22"/>
        </w:rPr>
      </w:pPr>
      <w:r>
        <w:rPr>
          <w:color w:val="000000"/>
          <w:sz w:val="22"/>
          <w:szCs w:val="22"/>
        </w:rPr>
      </w:r>
    </w:p>
    <w:p>
      <w:pPr>
        <w:pStyle w:val="Normal"/>
        <w:widowControl/>
        <w:numPr>
          <w:ilvl w:val="1"/>
          <w:numId w:val="3"/>
        </w:numPr>
        <w:tabs>
          <w:tab w:val="clear" w:pos="720"/>
          <w:tab w:val="left" w:pos="0" w:leader="none"/>
        </w:tabs>
        <w:suppressAutoHyphens w:val="true"/>
        <w:bidi w:val="0"/>
        <w:spacing w:lineRule="auto" w:line="276" w:before="0" w:after="0"/>
        <w:ind w:left="0" w:right="0" w:hanging="0"/>
        <w:jc w:val="both"/>
        <w:rPr/>
      </w:pPr>
      <w:r>
        <w:rPr>
          <w:color w:val="000000"/>
          <w:sz w:val="22"/>
          <w:szCs w:val="22"/>
          <w:highlight w:val="white"/>
        </w:rPr>
        <w:t xml:space="preserve"> </w:t>
      </w:r>
      <w:r>
        <w:rPr>
          <w:color w:val="000000"/>
          <w:sz w:val="22"/>
          <w:szCs w:val="22"/>
          <w:highlight w:val="white"/>
        </w:rPr>
        <w:t xml:space="preserve">O critério de julgamento da proposta é o </w:t>
      </w:r>
      <w:r>
        <w:rPr>
          <w:sz w:val="22"/>
          <w:szCs w:val="22"/>
          <w:highlight w:val="white"/>
          <w:u w:val="single"/>
        </w:rPr>
        <w:t xml:space="preserve">MAIOR DESCONTO para os </w:t>
      </w:r>
      <w:r>
        <w:rPr>
          <w:b/>
          <w:sz w:val="22"/>
          <w:szCs w:val="22"/>
          <w:highlight w:val="white"/>
          <w:u w:val="single"/>
        </w:rPr>
        <w:t>itens de cada grupo</w:t>
      </w:r>
      <w:r>
        <w:rPr>
          <w:sz w:val="22"/>
          <w:szCs w:val="22"/>
          <w:highlight w:val="white"/>
          <w:u w:val="single"/>
        </w:rPr>
        <w:t xml:space="preserve"> </w:t>
      </w:r>
      <w:r>
        <w:rPr>
          <w:b/>
          <w:sz w:val="22"/>
          <w:szCs w:val="22"/>
          <w:highlight w:val="white"/>
          <w:u w:val="single"/>
        </w:rPr>
        <w:t>(administração, gerenciamento e controle de abastecimento, manutenção e taxa de administração)</w:t>
      </w:r>
      <w:r>
        <w:rPr>
          <w:sz w:val="22"/>
          <w:szCs w:val="22"/>
          <w:highlight w:val="white"/>
          <w:u w:val="single"/>
        </w:rPr>
        <w:t>, sagrando-se vencedora aquela que obtiver a melhor proposta no somatório total do grupo.</w:t>
      </w:r>
    </w:p>
    <w:p>
      <w:pPr>
        <w:pStyle w:val="Normal"/>
        <w:widowControl/>
        <w:numPr>
          <w:ilvl w:val="1"/>
          <w:numId w:val="3"/>
        </w:numPr>
        <w:suppressAutoHyphens w:val="true"/>
        <w:bidi w:val="0"/>
        <w:spacing w:lineRule="auto" w:line="276" w:before="120" w:after="120"/>
        <w:ind w:left="0" w:right="0" w:hanging="0"/>
        <w:jc w:val="both"/>
        <w:rPr/>
      </w:pPr>
      <w:r>
        <w:rPr>
          <w:sz w:val="22"/>
          <w:szCs w:val="22"/>
        </w:rPr>
        <w:t xml:space="preserve"> </w:t>
      </w:r>
      <w:r>
        <w:rPr>
          <w:sz w:val="22"/>
          <w:szCs w:val="22"/>
        </w:rPr>
        <w:t>As regras de desempate entre propostas são as discriminadas no edital.</w:t>
      </w:r>
    </w:p>
    <w:p>
      <w:pPr>
        <w:pStyle w:val="Normal"/>
        <w:spacing w:lineRule="auto" w:line="276" w:before="120" w:after="120"/>
        <w:ind w:left="792" w:right="-30" w:hanging="0"/>
        <w:jc w:val="both"/>
        <w:rPr>
          <w:sz w:val="22"/>
          <w:szCs w:val="22"/>
        </w:rPr>
      </w:pPr>
      <w:r>
        <w:rPr>
          <w:sz w:val="22"/>
          <w:szCs w:val="22"/>
        </w:rPr>
      </w:r>
    </w:p>
    <w:p>
      <w:pPr>
        <w:pStyle w:val="Normal"/>
        <w:widowControl/>
        <w:numPr>
          <w:ilvl w:val="0"/>
          <w:numId w:val="3"/>
        </w:numPr>
        <w:suppressAutoHyphens w:val="true"/>
        <w:bidi w:val="0"/>
        <w:spacing w:lineRule="auto" w:line="276" w:before="120" w:after="0"/>
        <w:ind w:left="0" w:right="0" w:hanging="0"/>
        <w:jc w:val="both"/>
        <w:rPr/>
      </w:pPr>
      <w:r>
        <w:rPr>
          <w:b/>
          <w:color w:val="000000"/>
          <w:sz w:val="22"/>
          <w:szCs w:val="22"/>
        </w:rPr>
        <w:t>ESTIMATIVA DE PREÇOS E PREÇOS REFERENCIAIS.</w:t>
      </w:r>
    </w:p>
    <w:p>
      <w:pPr>
        <w:pStyle w:val="Normal"/>
        <w:spacing w:lineRule="auto" w:line="276"/>
        <w:ind w:left="360" w:right="-30" w:hanging="0"/>
        <w:jc w:val="both"/>
        <w:rPr>
          <w:color w:val="000000"/>
          <w:sz w:val="22"/>
          <w:szCs w:val="22"/>
          <w:highlight w:val="white"/>
          <w:u w:val="single"/>
        </w:rPr>
      </w:pPr>
      <w:r>
        <w:rPr>
          <w:color w:val="000000"/>
          <w:sz w:val="22"/>
          <w:szCs w:val="22"/>
          <w:highlight w:val="white"/>
          <w:u w:val="single"/>
        </w:rPr>
      </w:r>
    </w:p>
    <w:p>
      <w:pPr>
        <w:pStyle w:val="Normal"/>
        <w:widowControl w:val="false"/>
        <w:numPr>
          <w:ilvl w:val="1"/>
          <w:numId w:val="4"/>
        </w:numPr>
        <w:suppressAutoHyphens w:val="true"/>
        <w:bidi w:val="0"/>
        <w:spacing w:lineRule="auto" w:line="276" w:before="0" w:after="0"/>
        <w:ind w:left="0" w:right="0" w:hanging="0"/>
        <w:jc w:val="both"/>
        <w:rPr/>
      </w:pPr>
      <w:r>
        <w:rPr>
          <w:sz w:val="22"/>
          <w:szCs w:val="22"/>
          <w:highlight w:val="white"/>
        </w:rPr>
        <w:t xml:space="preserve"> </w:t>
      </w:r>
      <w:r>
        <w:rPr>
          <w:color w:val="000000"/>
          <w:sz w:val="22"/>
          <w:szCs w:val="22"/>
          <w:highlight w:val="white"/>
        </w:rPr>
        <w:t>Os</w:t>
      </w:r>
      <w:r>
        <w:rPr>
          <w:b/>
          <w:color w:val="000000"/>
          <w:sz w:val="22"/>
          <w:szCs w:val="22"/>
          <w:highlight w:val="white"/>
        </w:rPr>
        <w:t xml:space="preserve"> valores de referência </w:t>
      </w:r>
      <w:r>
        <w:rPr>
          <w:b/>
          <w:sz w:val="22"/>
          <w:szCs w:val="22"/>
          <w:highlight w:val="white"/>
        </w:rPr>
        <w:t>de cada grupo</w:t>
      </w:r>
      <w:r>
        <w:rPr>
          <w:sz w:val="22"/>
          <w:szCs w:val="22"/>
          <w:highlight w:val="white"/>
        </w:rPr>
        <w:t xml:space="preserve"> (administração, gerenciamento e controle de abastecimento, manutenção e taxa de administração)</w:t>
      </w:r>
      <w:r>
        <w:rPr>
          <w:color w:val="000000"/>
          <w:sz w:val="22"/>
          <w:szCs w:val="22"/>
          <w:highlight w:val="white"/>
        </w:rPr>
        <w:t xml:space="preserve"> s</w:t>
      </w:r>
      <w:r>
        <w:rPr>
          <w:sz w:val="22"/>
          <w:szCs w:val="22"/>
          <w:highlight w:val="white"/>
        </w:rPr>
        <w:t>ão</w:t>
      </w:r>
      <w:r>
        <w:rPr>
          <w:color w:val="000000"/>
          <w:sz w:val="22"/>
          <w:szCs w:val="22"/>
          <w:highlight w:val="white"/>
        </w:rPr>
        <w:t xml:space="preserve"> aqueles presentes no </w:t>
      </w:r>
      <w:r>
        <w:rPr>
          <w:b/>
          <w:color w:val="000000"/>
          <w:sz w:val="22"/>
          <w:szCs w:val="22"/>
          <w:highlight w:val="white"/>
        </w:rPr>
        <w:t>Anexo I/</w:t>
      </w:r>
      <w:r>
        <w:rPr>
          <w:b/>
          <w:sz w:val="22"/>
          <w:szCs w:val="22"/>
          <w:highlight w:val="white"/>
        </w:rPr>
        <w:t>C</w:t>
      </w:r>
      <w:r>
        <w:rPr>
          <w:b/>
          <w:color w:val="000000"/>
          <w:sz w:val="22"/>
          <w:szCs w:val="22"/>
          <w:highlight w:val="white"/>
        </w:rPr>
        <w:t xml:space="preserve"> </w:t>
      </w:r>
      <w:r>
        <w:rPr>
          <w:color w:val="000000"/>
          <w:sz w:val="22"/>
          <w:szCs w:val="22"/>
          <w:highlight w:val="white"/>
        </w:rPr>
        <w:t xml:space="preserve">deste Termo. </w:t>
      </w:r>
    </w:p>
    <w:p>
      <w:pPr>
        <w:pStyle w:val="Normal"/>
        <w:widowControl w:val="false"/>
        <w:spacing w:lineRule="auto" w:line="276"/>
        <w:ind w:left="777" w:right="-17" w:hanging="0"/>
        <w:jc w:val="both"/>
        <w:rPr>
          <w:b/>
          <w:b/>
          <w:color w:val="000000"/>
          <w:sz w:val="22"/>
          <w:szCs w:val="22"/>
        </w:rPr>
      </w:pPr>
      <w:r>
        <w:rPr>
          <w:b/>
          <w:color w:val="000000"/>
          <w:sz w:val="22"/>
          <w:szCs w:val="22"/>
        </w:rPr>
      </w:r>
    </w:p>
    <w:p>
      <w:pPr>
        <w:pStyle w:val="Normal"/>
        <w:widowControl w:val="false"/>
        <w:numPr>
          <w:ilvl w:val="1"/>
          <w:numId w:val="4"/>
        </w:numPr>
        <w:suppressAutoHyphens w:val="true"/>
        <w:bidi w:val="0"/>
        <w:spacing w:lineRule="auto" w:line="276" w:before="0" w:after="0"/>
        <w:ind w:left="0" w:right="0" w:hanging="0"/>
        <w:jc w:val="both"/>
        <w:rPr/>
      </w:pPr>
      <w:r>
        <w:rPr>
          <w:b/>
          <w:sz w:val="22"/>
          <w:szCs w:val="22"/>
        </w:rPr>
        <w:t xml:space="preserve"> </w:t>
      </w:r>
      <w:r>
        <w:rPr>
          <w:b/>
          <w:color w:val="000000"/>
          <w:sz w:val="22"/>
          <w:szCs w:val="22"/>
        </w:rPr>
        <w:t xml:space="preserve">Integram este </w:t>
      </w:r>
      <w:r>
        <w:rPr>
          <w:b/>
          <w:sz w:val="22"/>
          <w:szCs w:val="22"/>
        </w:rPr>
        <w:t>Termo</w:t>
      </w:r>
      <w:r>
        <w:rPr>
          <w:b/>
          <w:color w:val="000000"/>
          <w:sz w:val="22"/>
          <w:szCs w:val="22"/>
        </w:rPr>
        <w:t xml:space="preserve"> de Referência os seguintes anexos:</w:t>
      </w:r>
    </w:p>
    <w:p>
      <w:pPr>
        <w:pStyle w:val="Normal"/>
        <w:ind w:left="720" w:hanging="0"/>
        <w:rPr>
          <w:b/>
          <w:b/>
          <w:color w:val="000000"/>
          <w:sz w:val="22"/>
          <w:szCs w:val="22"/>
        </w:rPr>
      </w:pPr>
      <w:r>
        <w:rPr>
          <w:b/>
          <w:color w:val="000000"/>
          <w:sz w:val="22"/>
          <w:szCs w:val="22"/>
        </w:rPr>
      </w:r>
    </w:p>
    <w:p>
      <w:pPr>
        <w:pStyle w:val="Normal"/>
        <w:widowControl w:val="false"/>
        <w:numPr>
          <w:ilvl w:val="2"/>
          <w:numId w:val="4"/>
        </w:numPr>
        <w:suppressAutoHyphens w:val="true"/>
        <w:bidi w:val="0"/>
        <w:spacing w:lineRule="auto" w:line="276" w:before="0" w:after="0"/>
        <w:ind w:left="567" w:right="0" w:hanging="0"/>
        <w:jc w:val="both"/>
        <w:rPr/>
      </w:pPr>
      <w:r>
        <w:rPr>
          <w:color w:val="000000"/>
          <w:sz w:val="22"/>
          <w:szCs w:val="22"/>
        </w:rPr>
        <w:t>ANEXO I/A</w:t>
      </w:r>
      <w:r>
        <w:rPr>
          <w:b/>
          <w:color w:val="000000"/>
          <w:sz w:val="22"/>
          <w:szCs w:val="22"/>
        </w:rPr>
        <w:t xml:space="preserve">: Estudo Técnico </w:t>
      </w:r>
      <w:r>
        <w:rPr>
          <w:b/>
          <w:sz w:val="22"/>
          <w:szCs w:val="22"/>
        </w:rPr>
        <w:t>P</w:t>
      </w:r>
      <w:r>
        <w:rPr>
          <w:b/>
          <w:color w:val="000000"/>
          <w:sz w:val="22"/>
          <w:szCs w:val="22"/>
        </w:rPr>
        <w:t xml:space="preserve">reliminar – ETP – </w:t>
      </w:r>
      <w:r>
        <w:rPr>
          <w:color w:val="000000"/>
          <w:sz w:val="22"/>
          <w:szCs w:val="22"/>
        </w:rPr>
        <w:t>Disponível no site do IFSertãoPE, no seguinte endereço:</w:t>
      </w:r>
      <w:r>
        <w:rPr>
          <w:b/>
          <w:color w:val="000000"/>
          <w:sz w:val="22"/>
          <w:szCs w:val="22"/>
        </w:rPr>
        <w:t xml:space="preserve"> </w:t>
      </w:r>
      <w:hyperlink r:id="rId9">
        <w:r>
          <w:rPr>
            <w:rStyle w:val="LinkdaInternet"/>
            <w:b/>
            <w:color w:val="0000FF"/>
            <w:sz w:val="22"/>
            <w:szCs w:val="22"/>
            <w:u w:val="single"/>
          </w:rPr>
          <w:t>https://www.ifsertao-pe.edu.br/index.php/licitacoes/pregao-eletronico/pregao-rei?id=11791</w:t>
        </w:r>
      </w:hyperlink>
      <w:r>
        <w:rPr>
          <w:b/>
          <w:color w:val="000000"/>
          <w:sz w:val="22"/>
          <w:szCs w:val="22"/>
        </w:rPr>
        <w:t>;</w:t>
      </w:r>
    </w:p>
    <w:p>
      <w:pPr>
        <w:pStyle w:val="Normal"/>
        <w:widowControl w:val="false"/>
        <w:spacing w:lineRule="auto" w:line="276"/>
        <w:ind w:left="1440" w:right="-17" w:hanging="0"/>
        <w:jc w:val="both"/>
        <w:rPr>
          <w:b/>
          <w:b/>
          <w:color w:val="000000"/>
          <w:sz w:val="22"/>
          <w:szCs w:val="22"/>
        </w:rPr>
      </w:pPr>
      <w:r>
        <w:rPr>
          <w:b/>
          <w:color w:val="000000"/>
          <w:sz w:val="22"/>
          <w:szCs w:val="22"/>
        </w:rPr>
      </w:r>
    </w:p>
    <w:p>
      <w:pPr>
        <w:pStyle w:val="Normal"/>
        <w:widowControl w:val="false"/>
        <w:numPr>
          <w:ilvl w:val="2"/>
          <w:numId w:val="4"/>
        </w:numPr>
        <w:suppressAutoHyphens w:val="true"/>
        <w:bidi w:val="0"/>
        <w:spacing w:lineRule="auto" w:line="276" w:before="0" w:after="0"/>
        <w:ind w:left="567" w:right="0" w:hanging="0"/>
        <w:jc w:val="both"/>
        <w:rPr/>
      </w:pPr>
      <w:r>
        <w:rPr>
          <w:color w:val="000000"/>
          <w:sz w:val="22"/>
          <w:szCs w:val="22"/>
        </w:rPr>
        <w:t>ANEXO I/B</w:t>
      </w:r>
      <w:r>
        <w:rPr>
          <w:b/>
          <w:color w:val="000000"/>
          <w:sz w:val="22"/>
          <w:szCs w:val="22"/>
        </w:rPr>
        <w:t xml:space="preserve">: </w:t>
      </w:r>
      <w:r>
        <w:rPr>
          <w:b/>
          <w:sz w:val="22"/>
          <w:szCs w:val="22"/>
        </w:rPr>
        <w:t>Estimativas das Quantidades e de Valores, Mensal e Anual, do Órgão Gerenciador e Órgãos Participantes;</w:t>
      </w:r>
    </w:p>
    <w:p>
      <w:pPr>
        <w:pStyle w:val="Normal"/>
        <w:ind w:left="720" w:hanging="0"/>
        <w:rPr>
          <w:color w:val="000000"/>
          <w:sz w:val="22"/>
          <w:szCs w:val="22"/>
        </w:rPr>
      </w:pPr>
      <w:r>
        <w:rPr>
          <w:color w:val="000000"/>
          <w:sz w:val="22"/>
          <w:szCs w:val="22"/>
        </w:rPr>
      </w:r>
    </w:p>
    <w:p>
      <w:pPr>
        <w:pStyle w:val="Normal"/>
        <w:widowControl w:val="false"/>
        <w:numPr>
          <w:ilvl w:val="2"/>
          <w:numId w:val="4"/>
        </w:numPr>
        <w:suppressAutoHyphens w:val="true"/>
        <w:bidi w:val="0"/>
        <w:spacing w:lineRule="auto" w:line="276" w:before="0" w:after="0"/>
        <w:ind w:left="567" w:right="0" w:hanging="0"/>
        <w:jc w:val="both"/>
        <w:rPr/>
      </w:pPr>
      <w:r>
        <w:rPr>
          <w:color w:val="000000"/>
          <w:sz w:val="22"/>
          <w:szCs w:val="22"/>
        </w:rPr>
        <w:t xml:space="preserve">ANEXO I/C: </w:t>
      </w:r>
      <w:r>
        <w:rPr>
          <w:b/>
          <w:sz w:val="22"/>
          <w:szCs w:val="22"/>
        </w:rPr>
        <w:t>Planilha de Valor de Referência;</w:t>
      </w:r>
      <w:r>
        <w:rPr>
          <w:color w:val="000000"/>
          <w:sz w:val="22"/>
          <w:szCs w:val="22"/>
        </w:rPr>
        <w:t xml:space="preserve"> </w:t>
      </w:r>
    </w:p>
    <w:p>
      <w:pPr>
        <w:pStyle w:val="Normal"/>
        <w:ind w:left="720" w:hanging="0"/>
        <w:rPr>
          <w:color w:val="000000"/>
          <w:sz w:val="22"/>
          <w:szCs w:val="22"/>
        </w:rPr>
      </w:pPr>
      <w:r>
        <w:rPr>
          <w:color w:val="000000"/>
          <w:sz w:val="22"/>
          <w:szCs w:val="22"/>
        </w:rPr>
      </w:r>
    </w:p>
    <w:p>
      <w:pPr>
        <w:pStyle w:val="Normal"/>
        <w:widowControl w:val="false"/>
        <w:numPr>
          <w:ilvl w:val="2"/>
          <w:numId w:val="4"/>
        </w:numPr>
        <w:suppressAutoHyphens w:val="true"/>
        <w:bidi w:val="0"/>
        <w:spacing w:before="0" w:after="0"/>
        <w:ind w:left="567" w:right="0" w:hanging="0"/>
        <w:jc w:val="both"/>
        <w:rPr/>
      </w:pPr>
      <w:r>
        <w:rPr>
          <w:color w:val="000000"/>
          <w:sz w:val="22"/>
          <w:szCs w:val="22"/>
        </w:rPr>
        <w:t xml:space="preserve">ANEXO I/D: </w:t>
      </w:r>
      <w:r>
        <w:rPr>
          <w:b/>
          <w:color w:val="000000"/>
          <w:sz w:val="22"/>
          <w:szCs w:val="22"/>
        </w:rPr>
        <w:t>Lista da frota (veículos, tratores e equipamentos) objeto da contratação</w:t>
      </w:r>
    </w:p>
    <w:p>
      <w:pPr>
        <w:pStyle w:val="Normal"/>
        <w:ind w:left="720" w:hanging="0"/>
        <w:rPr>
          <w:b/>
          <w:b/>
          <w:color w:val="000000"/>
          <w:sz w:val="22"/>
          <w:szCs w:val="22"/>
        </w:rPr>
      </w:pPr>
      <w:r>
        <w:rPr>
          <w:b/>
          <w:color w:val="000000"/>
          <w:sz w:val="22"/>
          <w:szCs w:val="22"/>
        </w:rPr>
      </w:r>
    </w:p>
    <w:p>
      <w:pPr>
        <w:pStyle w:val="Normal"/>
        <w:widowControl w:val="false"/>
        <w:numPr>
          <w:ilvl w:val="2"/>
          <w:numId w:val="4"/>
        </w:numPr>
        <w:suppressAutoHyphens w:val="true"/>
        <w:bidi w:val="0"/>
        <w:spacing w:lineRule="auto" w:line="276" w:before="0" w:after="120"/>
        <w:ind w:left="567" w:right="0" w:hanging="0"/>
        <w:jc w:val="both"/>
        <w:rPr/>
      </w:pPr>
      <w:r>
        <w:rPr>
          <w:color w:val="000000"/>
          <w:sz w:val="22"/>
          <w:szCs w:val="22"/>
        </w:rPr>
        <w:t xml:space="preserve">ANEXO I/E: </w:t>
      </w:r>
      <w:r>
        <w:rPr>
          <w:b/>
          <w:color w:val="000000"/>
          <w:sz w:val="22"/>
          <w:szCs w:val="22"/>
        </w:rPr>
        <w:t>Instrumento de Medição de Resultados-IMR</w:t>
      </w:r>
    </w:p>
    <w:p>
      <w:pPr>
        <w:pStyle w:val="ListParagraph"/>
        <w:rPr>
          <w:color w:val="000000"/>
          <w:sz w:val="22"/>
          <w:szCs w:val="22"/>
        </w:rPr>
      </w:pPr>
      <w:r>
        <w:rPr>
          <w:color w:val="000000"/>
          <w:sz w:val="22"/>
          <w:szCs w:val="22"/>
        </w:rPr>
      </w:r>
    </w:p>
    <w:p>
      <w:pPr>
        <w:pStyle w:val="Normal"/>
        <w:widowControl w:val="false"/>
        <w:spacing w:lineRule="auto" w:line="276"/>
        <w:ind w:left="1440" w:right="-17" w:hanging="0"/>
        <w:jc w:val="both"/>
        <w:rPr>
          <w:color w:val="000000"/>
          <w:sz w:val="22"/>
          <w:szCs w:val="22"/>
        </w:rPr>
      </w:pPr>
      <w:r>
        <w:rPr>
          <w:color w:val="000000"/>
          <w:sz w:val="22"/>
          <w:szCs w:val="22"/>
        </w:rPr>
      </w:r>
    </w:p>
    <w:p>
      <w:pPr>
        <w:pStyle w:val="Normal"/>
        <w:widowControl w:val="false"/>
        <w:spacing w:lineRule="auto" w:line="276"/>
        <w:ind w:left="1440" w:right="-17" w:hanging="0"/>
        <w:jc w:val="both"/>
        <w:rPr>
          <w:color w:val="000000"/>
          <w:sz w:val="22"/>
          <w:szCs w:val="22"/>
        </w:rPr>
      </w:pPr>
      <w:r>
        <w:rPr>
          <w:color w:val="000000"/>
          <w:sz w:val="22"/>
          <w:szCs w:val="22"/>
        </w:rPr>
      </w:r>
    </w:p>
    <w:p>
      <w:pPr>
        <w:pStyle w:val="Normal"/>
        <w:widowControl w:val="false"/>
        <w:spacing w:lineRule="auto" w:line="276"/>
        <w:ind w:left="1440" w:right="-17" w:hanging="0"/>
        <w:jc w:val="both"/>
        <w:rPr>
          <w:color w:val="000000"/>
          <w:sz w:val="22"/>
          <w:szCs w:val="22"/>
        </w:rPr>
      </w:pPr>
      <w:r>
        <w:rPr>
          <w:color w:val="000000"/>
          <w:sz w:val="22"/>
          <w:szCs w:val="22"/>
        </w:rPr>
      </w:r>
    </w:p>
    <w:p>
      <w:pPr>
        <w:pStyle w:val="Normal"/>
        <w:spacing w:lineRule="auto" w:line="240" w:before="0" w:after="132"/>
        <w:ind w:left="360" w:hanging="0"/>
        <w:jc w:val="center"/>
        <w:rPr>
          <w:rFonts w:ascii="Arial" w:hAnsi="Arial" w:eastAsia="Arial" w:cs="Arial"/>
          <w:b/>
          <w:b/>
          <w:bCs/>
          <w:color w:val="00000A"/>
          <w:kern w:val="0"/>
          <w:sz w:val="20"/>
          <w:szCs w:val="20"/>
          <w:lang w:val="pt-BR" w:eastAsia="pt-BR" w:bidi="ar-SA"/>
        </w:rPr>
      </w:pPr>
      <w:r>
        <w:rPr>
          <w:rFonts w:eastAsia="Arial" w:cs="Arial"/>
          <w:b/>
          <w:bCs/>
          <w:color w:val="00000A"/>
          <w:kern w:val="0"/>
          <w:sz w:val="20"/>
          <w:szCs w:val="20"/>
          <w:lang w:val="pt-BR" w:eastAsia="pt-BR" w:bidi="ar-SA"/>
        </w:rPr>
        <w:t>Jean Carlos Coelho Alencar</w:t>
      </w:r>
    </w:p>
    <w:p>
      <w:pPr>
        <w:pStyle w:val="Normal"/>
        <w:spacing w:lineRule="auto" w:line="240" w:before="0" w:after="360"/>
        <w:ind w:left="360" w:hanging="0"/>
        <w:jc w:val="center"/>
        <w:rPr>
          <w:rFonts w:ascii="Arial" w:hAnsi="Arial" w:eastAsia="Arial" w:cs="Arial"/>
          <w:b/>
          <w:b/>
          <w:bCs/>
          <w:color w:val="00000A"/>
          <w:kern w:val="0"/>
          <w:sz w:val="20"/>
          <w:szCs w:val="20"/>
          <w:lang w:val="pt-BR" w:eastAsia="pt-BR" w:bidi="ar-SA"/>
        </w:rPr>
      </w:pPr>
      <w:r>
        <w:rPr>
          <w:rFonts w:eastAsia="Arial" w:cs="Arial"/>
          <w:b/>
          <w:bCs/>
          <w:color w:val="00000A"/>
          <w:kern w:val="0"/>
          <w:sz w:val="20"/>
          <w:szCs w:val="20"/>
          <w:lang w:val="pt-BR" w:eastAsia="pt-BR" w:bidi="ar-SA"/>
        </w:rPr>
        <w:t xml:space="preserve">Pró-Reitor  de Orçamento e Administração </w:t>
      </w:r>
    </w:p>
    <w:p>
      <w:pPr>
        <w:pStyle w:val="Normal"/>
        <w:spacing w:before="0" w:after="246"/>
        <w:ind w:hanging="0"/>
        <w:jc w:val="both"/>
        <w:rPr>
          <w:b/>
          <w:b/>
          <w:bCs/>
          <w:sz w:val="22"/>
          <w:szCs w:val="22"/>
        </w:rPr>
      </w:pPr>
      <w:r>
        <w:rPr/>
      </w:r>
    </w:p>
    <w:p>
      <w:pPr>
        <w:pStyle w:val="Normal"/>
        <w:spacing w:before="0" w:after="360"/>
        <w:ind w:hanging="0"/>
        <w:jc w:val="both"/>
        <w:rPr/>
      </w:pPr>
      <w:r>
        <w:rPr>
          <w:b/>
          <w:bCs/>
          <w:sz w:val="22"/>
          <w:szCs w:val="22"/>
        </w:rPr>
        <w:t>APROVO o</w:t>
      </w:r>
      <w:r>
        <w:rPr>
          <w:b/>
          <w:bCs/>
          <w:color w:val="00000A"/>
        </w:rPr>
        <w:t xml:space="preserve"> presente Termo de Referência </w:t>
      </w:r>
      <w:r>
        <w:rPr>
          <w:color w:val="00000A"/>
        </w:rPr>
        <w:t xml:space="preserve">de acordo com o inciso II do Artigo 14º do Decreto 10.024/2019, cuja finalidade é subsidiar os licitantes de todas as informações necessárias à participação no certame de Pregão Eletrônico para </w:t>
      </w:r>
      <w:r>
        <w:rPr>
          <w:b/>
          <w:color w:val="00000A"/>
        </w:rPr>
        <w:t xml:space="preserve">Contratação de empresa prestadora de serviços de administração e gerenciamento de frota para intermediação de abastecimento de combustíveis, manutenção preventiva e corretiva de veículos da Reitoria e dos </w:t>
      </w:r>
      <w:r>
        <w:rPr>
          <w:b/>
          <w:i/>
          <w:color w:val="00000A"/>
        </w:rPr>
        <w:t>campi</w:t>
      </w:r>
      <w:r>
        <w:rPr>
          <w:b/>
          <w:color w:val="00000A"/>
        </w:rPr>
        <w:t xml:space="preserve"> do IFSertãoPE</w:t>
      </w:r>
      <w:r>
        <w:rPr>
          <w:color w:val="00000A"/>
        </w:rPr>
        <w:t>, estando presentes os elementos necessários à identificação do objeto, seu custo e todos os critérios para participação de forma clara e concisa.</w:t>
      </w:r>
    </w:p>
    <w:p>
      <w:pPr>
        <w:pStyle w:val="Normal"/>
        <w:spacing w:before="0" w:after="360"/>
        <w:jc w:val="both"/>
        <w:rPr>
          <w:color w:val="00000A"/>
        </w:rPr>
      </w:pPr>
      <w:r>
        <w:rPr>
          <w:color w:val="00000A"/>
        </w:rPr>
      </w:r>
    </w:p>
    <w:p>
      <w:pPr>
        <w:pStyle w:val="Normal"/>
        <w:spacing w:lineRule="auto" w:line="276"/>
        <w:ind w:hanging="0"/>
        <w:jc w:val="both"/>
        <w:rPr>
          <w:color w:val="00000A"/>
        </w:rPr>
      </w:pPr>
      <w:r>
        <w:rPr>
          <w:color w:val="00000A"/>
        </w:rPr>
      </w:r>
    </w:p>
    <w:p>
      <w:pPr>
        <w:pStyle w:val="Normal"/>
        <w:spacing w:lineRule="auto" w:line="276"/>
        <w:ind w:left="426" w:hanging="0"/>
        <w:jc w:val="center"/>
        <w:rPr>
          <w:rFonts w:ascii="Arial" w:hAnsi="Arial" w:eastAsia="Arial" w:cs="Arial"/>
          <w:b/>
          <w:b/>
          <w:bCs/>
          <w:color w:val="00000A"/>
          <w:kern w:val="0"/>
          <w:sz w:val="20"/>
          <w:szCs w:val="20"/>
          <w:lang w:val="pt-BR" w:eastAsia="pt-BR" w:bidi="ar-SA"/>
        </w:rPr>
      </w:pPr>
      <w:r>
        <w:rPr>
          <w:rFonts w:eastAsia="Arial" w:cs="Arial"/>
          <w:b/>
          <w:bCs/>
          <w:color w:val="00000A"/>
          <w:kern w:val="0"/>
          <w:sz w:val="20"/>
          <w:szCs w:val="20"/>
          <w:lang w:val="pt-BR" w:eastAsia="pt-BR" w:bidi="ar-SA"/>
        </w:rPr>
        <w:t xml:space="preserve">Maria Leopoldina Veras Camelo </w:t>
      </w:r>
    </w:p>
    <w:p>
      <w:pPr>
        <w:pStyle w:val="Normal"/>
        <w:spacing w:lineRule="auto" w:line="276"/>
        <w:ind w:left="426" w:hanging="0"/>
        <w:jc w:val="center"/>
        <w:rPr>
          <w:color w:val="00000A"/>
        </w:rPr>
      </w:pPr>
      <w:r>
        <w:rPr>
          <w:b/>
          <w:bCs/>
          <w:color w:val="00000A"/>
        </w:rPr>
        <w:t>Reitor</w:t>
      </w:r>
      <w:r>
        <w:rPr>
          <w:rFonts w:eastAsia="Arial" w:cs="Arial"/>
          <w:b/>
          <w:bCs/>
          <w:color w:val="00000A"/>
          <w:kern w:val="0"/>
          <w:sz w:val="20"/>
          <w:szCs w:val="20"/>
          <w:lang w:val="pt-BR" w:eastAsia="pt-BR" w:bidi="ar-SA"/>
        </w:rPr>
        <w:t>a</w:t>
      </w:r>
    </w:p>
    <w:p>
      <w:pPr>
        <w:sectPr>
          <w:headerReference w:type="default" r:id="rId10"/>
          <w:footerReference w:type="default" r:id="rId11"/>
          <w:type w:val="nextPage"/>
          <w:pgSz w:w="11906" w:h="16838"/>
          <w:pgMar w:left="1701" w:right="1134" w:header="709" w:top="1418" w:footer="709" w:bottom="1418" w:gutter="0"/>
          <w:pgNumType w:start="1" w:fmt="decimal"/>
          <w:formProt w:val="false"/>
          <w:textDirection w:val="lrTb"/>
          <w:docGrid w:type="default" w:linePitch="100" w:charSpace="16384"/>
        </w:sectPr>
        <w:pStyle w:val="Normal"/>
        <w:spacing w:lineRule="auto" w:line="276"/>
        <w:jc w:val="center"/>
        <w:rPr>
          <w:color w:val="00000A"/>
        </w:rPr>
      </w:pPr>
      <w:r>
        <w:rPr>
          <w:b/>
          <w:bCs/>
          <w:color w:val="00000A"/>
        </w:rPr>
        <w:t>IFSertãoPE</w:t>
      </w:r>
    </w:p>
    <w:p>
      <w:pPr>
        <w:pStyle w:val="Normal"/>
        <w:bidi w:val="0"/>
        <w:spacing w:lineRule="auto" w:line="360" w:before="0" w:after="0"/>
        <w:jc w:val="center"/>
        <w:rPr>
          <w:b/>
          <w:b/>
          <w:sz w:val="24"/>
          <w:szCs w:val="24"/>
        </w:rPr>
      </w:pPr>
      <w:r>
        <w:rPr>
          <w:b/>
          <w:sz w:val="24"/>
          <w:szCs w:val="24"/>
        </w:rPr>
        <w:t>ANEXO I/B</w:t>
      </w:r>
    </w:p>
    <w:p>
      <w:pPr>
        <w:pStyle w:val="Normal"/>
        <w:widowControl w:val="false"/>
        <w:bidi w:val="0"/>
        <w:spacing w:lineRule="auto" w:line="360" w:before="0" w:after="0"/>
        <w:ind w:left="-245" w:right="-197" w:hanging="0"/>
        <w:jc w:val="center"/>
        <w:rPr/>
      </w:pPr>
      <w:r>
        <w:rPr>
          <w:rFonts w:eastAsia="Times New Roman" w:cs="Times New Roman" w:ascii="Times New Roman" w:hAnsi="Times New Roman"/>
          <w:b/>
          <w:sz w:val="24"/>
          <w:szCs w:val="24"/>
        </w:rPr>
        <w:t>Estimativas das Quantidades e de Valores, Mensal e Anual, do Órgão Gerenciador e Órgãos Participantes</w:t>
      </w:r>
    </w:p>
    <w:p>
      <w:pPr>
        <w:pStyle w:val="Normal"/>
        <w:widowControl w:val="false"/>
        <w:bidi w:val="0"/>
        <w:spacing w:lineRule="auto" w:line="360" w:before="0" w:after="0"/>
        <w:ind w:left="-245" w:right="-197"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14220" w:type="dxa"/>
        <w:jc w:val="left"/>
        <w:tblInd w:w="55" w:type="dxa"/>
        <w:tblCellMar>
          <w:top w:w="0" w:type="dxa"/>
          <w:left w:w="98" w:type="dxa"/>
          <w:bottom w:w="0" w:type="dxa"/>
          <w:right w:w="108" w:type="dxa"/>
        </w:tblCellMar>
        <w:tblLook w:firstRow="0" w:noVBand="1" w:lastRow="0" w:firstColumn="0" w:lastColumn="0" w:noHBand="0" w:val="0400"/>
      </w:tblPr>
      <w:tblGrid>
        <w:gridCol w:w="651"/>
        <w:gridCol w:w="2926"/>
        <w:gridCol w:w="2315"/>
        <w:gridCol w:w="1303"/>
        <w:gridCol w:w="1437"/>
        <w:gridCol w:w="1415"/>
        <w:gridCol w:w="1437"/>
        <w:gridCol w:w="1331"/>
        <w:gridCol w:w="1403"/>
      </w:tblGrid>
      <w:tr>
        <w:trPr>
          <w:trHeight w:val="450" w:hRule="atLeast"/>
        </w:trPr>
        <w:tc>
          <w:tcPr>
            <w:tcW w:w="14218" w:type="dxa"/>
            <w:gridSpan w:val="9"/>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before="0" w:after="360"/>
              <w:ind w:right="-197" w:hanging="0"/>
              <w:jc w:val="center"/>
              <w:rPr>
                <w:sz w:val="24"/>
                <w:szCs w:val="24"/>
              </w:rPr>
            </w:pPr>
            <w:r>
              <w:rPr>
                <w:rFonts w:eastAsia="Times New Roman" w:cs="Times New Roman" w:ascii="Times New Roman" w:hAnsi="Times New Roman"/>
                <w:b/>
                <w:sz w:val="24"/>
                <w:szCs w:val="24"/>
              </w:rPr>
              <w:t xml:space="preserve">GRUPO 01 (Reitoria/IF SERTÃO – PE – UASG 158149) </w:t>
            </w:r>
          </w:p>
        </w:tc>
      </w:tr>
      <w:tr>
        <w:trPr/>
        <w:tc>
          <w:tcPr>
            <w:tcW w:w="651"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926" w:type="dxa"/>
            <w:tcBorders>
              <w:top w:val="single" w:sz="4" w:space="0" w:color="000001"/>
              <w:left w:val="single" w:sz="4" w:space="0" w:color="000001"/>
              <w:bottom w:val="single" w:sz="4" w:space="0" w:color="000001"/>
              <w:right w:val="single" w:sz="4" w:space="0" w:color="000001"/>
            </w:tcBorders>
            <w:shd w:color="auto" w:fill="B8CCE4"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15"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7" w:right="-133" w:hanging="0"/>
              <w:jc w:val="center"/>
              <w:rPr>
                <w:sz w:val="18"/>
                <w:szCs w:val="18"/>
              </w:rPr>
            </w:pPr>
            <w:r>
              <w:rPr>
                <w:b/>
                <w:sz w:val="18"/>
                <w:szCs w:val="18"/>
              </w:rPr>
              <w:t xml:space="preserve">Especificação </w:t>
            </w:r>
          </w:p>
        </w:tc>
        <w:tc>
          <w:tcPr>
            <w:tcW w:w="1303"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7"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415"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37"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31"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E</w:t>
            </w:r>
            <w:r>
              <w:rPr>
                <w:sz w:val="18"/>
                <w:szCs w:val="18"/>
              </w:rPr>
              <w:t xml:space="preserve"> = Soma dos Valores de C</w:t>
            </w:r>
          </w:p>
        </w:tc>
        <w:tc>
          <w:tcPr>
            <w:tcW w:w="1403" w:type="dxa"/>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r>
      <w:tr>
        <w:trPr/>
        <w:tc>
          <w:tcPr>
            <w:tcW w:w="65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w:t>
            </w:r>
          </w:p>
          <w:p>
            <w:pPr>
              <w:pStyle w:val="Normal"/>
              <w:widowControl w:val="false"/>
              <w:spacing w:lineRule="auto" w:line="276" w:before="0" w:after="120"/>
              <w:jc w:val="center"/>
              <w:rPr>
                <w:sz w:val="18"/>
                <w:szCs w:val="18"/>
              </w:rPr>
            </w:pPr>
            <w:r>
              <w:rPr>
                <w:sz w:val="18"/>
                <w:szCs w:val="18"/>
              </w:rPr>
            </w:r>
          </w:p>
        </w:tc>
        <w:tc>
          <w:tcPr>
            <w:tcW w:w="29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3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6.369</w:t>
            </w:r>
          </w:p>
        </w:tc>
        <w:tc>
          <w:tcPr>
            <w:tcW w:w="14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R$ 6,43 </w:t>
            </w:r>
          </w:p>
        </w:tc>
        <w:tc>
          <w:tcPr>
            <w:tcW w:w="14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3.412,72</w:t>
            </w:r>
          </w:p>
        </w:tc>
        <w:tc>
          <w:tcPr>
            <w:tcW w:w="14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ind w:left="-57" w:hanging="0"/>
              <w:rPr>
                <w:color w:val="000000" w:themeColor="text1"/>
                <w:sz w:val="18"/>
                <w:szCs w:val="18"/>
              </w:rPr>
            </w:pPr>
            <w:r>
              <w:rPr>
                <w:color w:val="000000" w:themeColor="text1"/>
                <w:sz w:val="18"/>
                <w:szCs w:val="18"/>
              </w:rPr>
              <w:t>40.952,64</w:t>
            </w:r>
          </w:p>
        </w:tc>
        <w:tc>
          <w:tcPr>
            <w:tcW w:w="1331"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10.396,75</w:t>
            </w:r>
          </w:p>
        </w:tc>
        <w:tc>
          <w:tcPr>
            <w:tcW w:w="1403"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ind w:left="-57" w:hanging="0"/>
              <w:rPr>
                <w:b/>
                <w:b/>
                <w:color w:val="000000" w:themeColor="text1"/>
                <w:sz w:val="18"/>
                <w:szCs w:val="18"/>
              </w:rPr>
            </w:pPr>
            <w:r>
              <w:rPr>
                <w:b/>
                <w:color w:val="000000" w:themeColor="text1"/>
                <w:sz w:val="18"/>
                <w:szCs w:val="18"/>
              </w:rPr>
            </w:r>
          </w:p>
          <w:p>
            <w:pPr>
              <w:pStyle w:val="Normal"/>
              <w:widowControl w:val="false"/>
              <w:spacing w:lineRule="auto" w:line="276" w:before="0" w:after="120"/>
              <w:ind w:left="-57" w:hanging="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124.761,00</w:t>
            </w:r>
          </w:p>
        </w:tc>
      </w:tr>
      <w:tr>
        <w:trPr>
          <w:trHeight w:val="938" w:hRule="atLeast"/>
        </w:trPr>
        <w:tc>
          <w:tcPr>
            <w:tcW w:w="65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9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3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16.117</w:t>
            </w:r>
          </w:p>
        </w:tc>
        <w:tc>
          <w:tcPr>
            <w:tcW w:w="14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4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6.984,03</w:t>
            </w:r>
          </w:p>
        </w:tc>
        <w:tc>
          <w:tcPr>
            <w:tcW w:w="14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83.808,36</w:t>
            </w:r>
          </w:p>
        </w:tc>
        <w:tc>
          <w:tcPr>
            <w:tcW w:w="1331"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403"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r>
      <w:tr>
        <w:trPr/>
        <w:tc>
          <w:tcPr>
            <w:tcW w:w="5892" w:type="dxa"/>
            <w:gridSpan w:val="3"/>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lineRule="auto" w:line="276" w:before="0" w:after="120"/>
              <w:jc w:val="center"/>
              <w:rPr>
                <w:sz w:val="18"/>
                <w:szCs w:val="18"/>
              </w:rPr>
            </w:pPr>
            <w:r>
              <w:rPr>
                <w:sz w:val="18"/>
                <w:szCs w:val="18"/>
              </w:rPr>
            </w:r>
          </w:p>
        </w:tc>
        <w:tc>
          <w:tcPr>
            <w:tcW w:w="4155" w:type="dxa"/>
            <w:gridSpan w:val="3"/>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171" w:type="dxa"/>
            <w:gridSpan w:val="3"/>
            <w:tcBorders>
              <w:top w:val="single" w:sz="4" w:space="0" w:color="000001"/>
              <w:left w:val="single" w:sz="4" w:space="0" w:color="000001"/>
              <w:bottom w:val="single" w:sz="4" w:space="0" w:color="000001"/>
              <w:right w:val="single" w:sz="4" w:space="0" w:color="000001"/>
            </w:tcBorders>
            <w:shd w:color="auto" w:fill="B8CCE4"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2</w:t>
            </w:r>
          </w:p>
        </w:tc>
        <w:tc>
          <w:tcPr>
            <w:tcW w:w="292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5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7.116,42</w:t>
            </w:r>
          </w:p>
        </w:tc>
        <w:tc>
          <w:tcPr>
            <w:tcW w:w="417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85.397,04</w:t>
            </w:r>
          </w:p>
        </w:tc>
      </w:tr>
      <w:tr>
        <w:trPr/>
        <w:tc>
          <w:tcPr>
            <w:tcW w:w="6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3</w:t>
            </w:r>
          </w:p>
        </w:tc>
        <w:tc>
          <w:tcPr>
            <w:tcW w:w="292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tc>
        <w:tc>
          <w:tcPr>
            <w:tcW w:w="415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1,75</w:t>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tc>
        <w:tc>
          <w:tcPr>
            <w:tcW w:w="417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21,00</w:t>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tc>
      </w:tr>
      <w:tr>
        <w:trPr/>
        <w:tc>
          <w:tcPr>
            <w:tcW w:w="14218" w:type="dxa"/>
            <w:gridSpan w:val="9"/>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pPr>
            <w:r>
              <w:rPr>
                <w:b/>
                <w:sz w:val="18"/>
                <w:szCs w:val="18"/>
              </w:rPr>
              <w:t>Endereço e contatos para a prestação dos serviços do Grupo 01:</w:t>
            </w:r>
            <w:r>
              <w:rPr>
                <w:sz w:val="18"/>
                <w:szCs w:val="18"/>
              </w:rPr>
              <w:t xml:space="preserve"> Rua Aristarco Lopes, 240, Centro, Petrolina -PE. CEP 56302-100. Telefone: (87) 2101 2350/ Ramal 2354. E-mail: </w:t>
            </w:r>
            <w:r>
              <w:rPr>
                <w:rStyle w:val="Linkdainternetvisitado"/>
                <w:color w:val="0000FF"/>
                <w:sz w:val="18"/>
                <w:szCs w:val="18"/>
                <w:u w:val="single"/>
              </w:rPr>
              <w:t xml:space="preserve">rt.clmtv@ifsertao-pe.edu.br   </w:t>
            </w:r>
          </w:p>
        </w:tc>
      </w:tr>
    </w:tbl>
    <w:p>
      <w:pPr>
        <w:pStyle w:val="Normal"/>
        <w:spacing w:before="0" w:after="360"/>
        <w:rPr>
          <w:sz w:val="24"/>
          <w:szCs w:val="24"/>
        </w:rPr>
      </w:pPr>
      <w:r>
        <w:rPr>
          <w:sz w:val="24"/>
          <w:szCs w:val="24"/>
        </w:rPr>
      </w:r>
    </w:p>
    <w:tbl>
      <w:tblPr>
        <w:tblW w:w="14219" w:type="dxa"/>
        <w:jc w:val="left"/>
        <w:tblInd w:w="55" w:type="dxa"/>
        <w:tblCellMar>
          <w:top w:w="0" w:type="dxa"/>
          <w:left w:w="98" w:type="dxa"/>
          <w:bottom w:w="0" w:type="dxa"/>
          <w:right w:w="108" w:type="dxa"/>
        </w:tblCellMar>
        <w:tblLook w:firstRow="0" w:noVBand="1" w:lastRow="0" w:firstColumn="0" w:lastColumn="0" w:noHBand="0" w:val="0400"/>
      </w:tblPr>
      <w:tblGrid>
        <w:gridCol w:w="649"/>
        <w:gridCol w:w="2932"/>
        <w:gridCol w:w="2315"/>
        <w:gridCol w:w="1304"/>
        <w:gridCol w:w="1439"/>
        <w:gridCol w:w="1418"/>
        <w:gridCol w:w="1441"/>
        <w:gridCol w:w="1334"/>
        <w:gridCol w:w="1385"/>
      </w:tblGrid>
      <w:tr>
        <w:trPr>
          <w:trHeight w:val="450" w:hRule="atLeast"/>
        </w:trPr>
        <w:tc>
          <w:tcPr>
            <w:tcW w:w="14217" w:type="dxa"/>
            <w:gridSpan w:val="9"/>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245" w:right="-197" w:hanging="0"/>
              <w:jc w:val="center"/>
              <w:rPr>
                <w:sz w:val="24"/>
                <w:szCs w:val="24"/>
              </w:rPr>
            </w:pPr>
            <w:r>
              <w:rPr>
                <w:b/>
              </w:rPr>
              <w:t xml:space="preserve">GRUPO 02 (Campus Petrolina/IF SERTÃO – PE – UASG 158499) </w:t>
            </w:r>
          </w:p>
        </w:tc>
      </w:tr>
      <w:tr>
        <w:trPr/>
        <w:tc>
          <w:tcPr>
            <w:tcW w:w="649"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932" w:type="dxa"/>
            <w:tcBorders>
              <w:top w:val="single" w:sz="4" w:space="0" w:color="000001"/>
              <w:left w:val="single" w:sz="4" w:space="0" w:color="000001"/>
              <w:bottom w:val="single" w:sz="4" w:space="0" w:color="000001"/>
              <w:right w:val="single" w:sz="4" w:space="0" w:color="000001"/>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15"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30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9"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21" w:right="-86" w:hanging="0"/>
              <w:jc w:val="center"/>
              <w:rPr>
                <w:sz w:val="18"/>
                <w:szCs w:val="18"/>
              </w:rPr>
            </w:pPr>
            <w:r>
              <w:rPr>
                <w:b/>
                <w:sz w:val="18"/>
                <w:szCs w:val="18"/>
              </w:rPr>
              <w:t>ANP-PE R$ (B</w:t>
            </w:r>
          </w:p>
        </w:tc>
        <w:tc>
          <w:tcPr>
            <w:tcW w:w="1418"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41"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3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sz w:val="18"/>
                <w:szCs w:val="18"/>
              </w:rPr>
              <w:t>E = Soma dos Valores de C</w:t>
            </w:r>
          </w:p>
        </w:tc>
        <w:tc>
          <w:tcPr>
            <w:tcW w:w="1385"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sz w:val="18"/>
                <w:szCs w:val="18"/>
              </w:rPr>
              <w:t>F = E X 12</w:t>
            </w:r>
          </w:p>
        </w:tc>
      </w:tr>
      <w:tr>
        <w:trPr/>
        <w:tc>
          <w:tcPr>
            <w:tcW w:w="649"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w:t>
            </w:r>
          </w:p>
          <w:p>
            <w:pPr>
              <w:pStyle w:val="Normal"/>
              <w:widowControl w:val="false"/>
              <w:spacing w:lineRule="auto" w:line="276" w:before="0" w:after="120"/>
              <w:jc w:val="center"/>
              <w:rPr>
                <w:sz w:val="18"/>
                <w:szCs w:val="18"/>
              </w:rPr>
            </w:pPr>
            <w:r>
              <w:rPr>
                <w:sz w:val="18"/>
                <w:szCs w:val="18"/>
              </w:rPr>
            </w:r>
          </w:p>
        </w:tc>
        <w:tc>
          <w:tcPr>
            <w:tcW w:w="293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3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3.712</w:t>
            </w:r>
          </w:p>
        </w:tc>
        <w:tc>
          <w:tcPr>
            <w:tcW w:w="143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1.989,01</w:t>
            </w:r>
          </w:p>
        </w:tc>
        <w:tc>
          <w:tcPr>
            <w:tcW w:w="14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ind w:left="-57" w:hanging="0"/>
              <w:rPr>
                <w:color w:val="000000" w:themeColor="text1"/>
                <w:sz w:val="18"/>
                <w:szCs w:val="18"/>
              </w:rPr>
            </w:pPr>
            <w:r>
              <w:rPr>
                <w:color w:val="000000" w:themeColor="text1"/>
                <w:sz w:val="18"/>
                <w:szCs w:val="18"/>
              </w:rPr>
              <w:t>23.868,12</w:t>
            </w:r>
          </w:p>
        </w:tc>
        <w:tc>
          <w:tcPr>
            <w:tcW w:w="1334"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7.249,24</w:t>
            </w:r>
          </w:p>
        </w:tc>
        <w:tc>
          <w:tcPr>
            <w:tcW w:w="1385"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86.990,88</w:t>
            </w:r>
          </w:p>
        </w:tc>
      </w:tr>
      <w:tr>
        <w:trPr>
          <w:trHeight w:val="938" w:hRule="atLeast"/>
        </w:trPr>
        <w:tc>
          <w:tcPr>
            <w:tcW w:w="649"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93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3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12.139</w:t>
            </w:r>
          </w:p>
        </w:tc>
        <w:tc>
          <w:tcPr>
            <w:tcW w:w="143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5.260,23</w:t>
            </w:r>
          </w:p>
        </w:tc>
        <w:tc>
          <w:tcPr>
            <w:tcW w:w="14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63.122,76</w:t>
            </w:r>
          </w:p>
        </w:tc>
        <w:tc>
          <w:tcPr>
            <w:tcW w:w="1334"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385"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r>
      <w:tr>
        <w:trPr/>
        <w:tc>
          <w:tcPr>
            <w:tcW w:w="5896"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jc w:val="center"/>
              <w:rPr>
                <w:sz w:val="18"/>
                <w:szCs w:val="18"/>
              </w:rPr>
            </w:pPr>
            <w:r>
              <w:rPr>
                <w:sz w:val="18"/>
                <w:szCs w:val="18"/>
              </w:rPr>
            </w:r>
          </w:p>
        </w:tc>
        <w:tc>
          <w:tcPr>
            <w:tcW w:w="4161"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160"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5</w:t>
            </w:r>
          </w:p>
        </w:tc>
        <w:tc>
          <w:tcPr>
            <w:tcW w:w="293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6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6.868,33</w:t>
            </w:r>
          </w:p>
        </w:tc>
        <w:tc>
          <w:tcPr>
            <w:tcW w:w="416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82.419,96</w:t>
            </w:r>
          </w:p>
        </w:tc>
      </w:tr>
      <w:tr>
        <w:trPr/>
        <w:tc>
          <w:tcPr>
            <w:tcW w:w="6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6</w:t>
            </w:r>
          </w:p>
        </w:tc>
        <w:tc>
          <w:tcPr>
            <w:tcW w:w="293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6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1,41</w:t>
            </w:r>
          </w:p>
        </w:tc>
        <w:tc>
          <w:tcPr>
            <w:tcW w:w="416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16,92</w:t>
            </w:r>
          </w:p>
        </w:tc>
      </w:tr>
      <w:tr>
        <w:trPr/>
        <w:tc>
          <w:tcPr>
            <w:tcW w:w="14217" w:type="dxa"/>
            <w:gridSpan w:val="9"/>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b/>
                <w:sz w:val="18"/>
                <w:szCs w:val="18"/>
              </w:rPr>
              <w:t>Endereço e contatos para a prestação dos serviços</w:t>
            </w:r>
            <w:r>
              <w:rPr>
                <w:sz w:val="18"/>
                <w:szCs w:val="18"/>
              </w:rPr>
              <w:t xml:space="preserve">: Rua Maria Luiza de Araújo Gomes Cabral, s/n, João de Deus, CEP: 56316-686 | Petrolina/PE. Telefone: (87) 2101-4300.   </w:t>
            </w:r>
            <w:r>
              <w:rPr>
                <w:b/>
                <w:color w:val="00000A"/>
                <w:sz w:val="18"/>
                <w:szCs w:val="18"/>
              </w:rPr>
              <w:t xml:space="preserve">E-mail: </w:t>
            </w:r>
            <w:r>
              <w:rPr>
                <w:b/>
                <w:sz w:val="18"/>
                <w:szCs w:val="18"/>
              </w:rPr>
              <w:t>cp.licita@ifsertao-pe.edu.br</w:t>
            </w:r>
          </w:p>
        </w:tc>
      </w:tr>
    </w:tbl>
    <w:p>
      <w:pPr>
        <w:pStyle w:val="Normal"/>
        <w:spacing w:before="0" w:after="360"/>
        <w:rPr>
          <w:sz w:val="24"/>
          <w:szCs w:val="24"/>
        </w:rPr>
      </w:pPr>
      <w:r>
        <w:rPr>
          <w:sz w:val="24"/>
          <w:szCs w:val="24"/>
        </w:rPr>
      </w:r>
    </w:p>
    <w:tbl>
      <w:tblPr>
        <w:tblW w:w="14219" w:type="dxa"/>
        <w:jc w:val="left"/>
        <w:tblInd w:w="55" w:type="dxa"/>
        <w:tblCellMar>
          <w:top w:w="0" w:type="dxa"/>
          <w:left w:w="98" w:type="dxa"/>
          <w:bottom w:w="0" w:type="dxa"/>
          <w:right w:w="108" w:type="dxa"/>
        </w:tblCellMar>
        <w:tblLook w:firstRow="0" w:noVBand="1" w:lastRow="0" w:firstColumn="0" w:lastColumn="0" w:noHBand="0" w:val="0400"/>
      </w:tblPr>
      <w:tblGrid>
        <w:gridCol w:w="649"/>
        <w:gridCol w:w="2929"/>
        <w:gridCol w:w="2315"/>
        <w:gridCol w:w="1303"/>
        <w:gridCol w:w="1437"/>
        <w:gridCol w:w="1418"/>
        <w:gridCol w:w="3"/>
        <w:gridCol w:w="1142"/>
        <w:gridCol w:w="1507"/>
        <w:gridCol w:w="1514"/>
      </w:tblGrid>
      <w:tr>
        <w:trPr>
          <w:trHeight w:val="450" w:hRule="atLeast"/>
        </w:trPr>
        <w:tc>
          <w:tcPr>
            <w:tcW w:w="14217" w:type="dxa"/>
            <w:gridSpan w:val="10"/>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245" w:right="-197" w:hanging="0"/>
              <w:jc w:val="center"/>
              <w:rPr>
                <w:b/>
                <w:b/>
              </w:rPr>
            </w:pPr>
            <w:r>
              <w:rPr>
                <w:b/>
              </w:rPr>
              <w:t xml:space="preserve">GRUPO 03 (Campus Petrolina Zona Rural/IF SERTÃO – PE – UASG 158278) </w:t>
            </w:r>
          </w:p>
          <w:p>
            <w:pPr>
              <w:pStyle w:val="Normal"/>
              <w:widowControl w:val="false"/>
              <w:ind w:left="-245" w:right="-197" w:hanging="0"/>
              <w:jc w:val="center"/>
              <w:rPr>
                <w:sz w:val="24"/>
                <w:szCs w:val="24"/>
              </w:rPr>
            </w:pPr>
            <w:r>
              <w:rPr>
                <w:sz w:val="24"/>
                <w:szCs w:val="24"/>
              </w:rPr>
            </w:r>
          </w:p>
        </w:tc>
      </w:tr>
      <w:tr>
        <w:trPr/>
        <w:tc>
          <w:tcPr>
            <w:tcW w:w="649"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929" w:type="dxa"/>
            <w:tcBorders>
              <w:top w:val="single" w:sz="4" w:space="0" w:color="000001"/>
              <w:left w:val="single" w:sz="4" w:space="0" w:color="000001"/>
              <w:bottom w:val="single" w:sz="4" w:space="0" w:color="000001"/>
              <w:right w:val="single" w:sz="4" w:space="0" w:color="000001"/>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15"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303"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7"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21" w:right="-86" w:hanging="0"/>
              <w:jc w:val="center"/>
              <w:rPr>
                <w:sz w:val="18"/>
                <w:szCs w:val="18"/>
              </w:rPr>
            </w:pPr>
            <w:r>
              <w:rPr>
                <w:b/>
                <w:sz w:val="18"/>
                <w:szCs w:val="18"/>
              </w:rPr>
              <w:t>ANP-PE R$ (B</w:t>
            </w:r>
          </w:p>
        </w:tc>
        <w:tc>
          <w:tcPr>
            <w:tcW w:w="1418"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145" w:type="dxa"/>
            <w:gridSpan w:val="2"/>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507"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E</w:t>
            </w:r>
            <w:r>
              <w:rPr>
                <w:sz w:val="18"/>
                <w:szCs w:val="18"/>
              </w:rPr>
              <w:t xml:space="preserve"> = Soma dos Valores de C</w:t>
            </w:r>
          </w:p>
        </w:tc>
        <w:tc>
          <w:tcPr>
            <w:tcW w:w="151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r>
      <w:tr>
        <w:trPr/>
        <w:tc>
          <w:tcPr>
            <w:tcW w:w="649"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w:t>
            </w:r>
          </w:p>
          <w:p>
            <w:pPr>
              <w:pStyle w:val="Normal"/>
              <w:widowControl w:val="false"/>
              <w:spacing w:lineRule="auto" w:line="276" w:before="0" w:after="120"/>
              <w:jc w:val="center"/>
              <w:rPr>
                <w:sz w:val="18"/>
                <w:szCs w:val="18"/>
              </w:rPr>
            </w:pPr>
            <w:r>
              <w:rPr>
                <w:sz w:val="18"/>
                <w:szCs w:val="18"/>
              </w:rPr>
            </w:r>
          </w:p>
        </w:tc>
        <w:tc>
          <w:tcPr>
            <w:tcW w:w="2929"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3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6.260</w:t>
            </w:r>
          </w:p>
        </w:tc>
        <w:tc>
          <w:tcPr>
            <w:tcW w:w="14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3.354,32</w:t>
            </w:r>
          </w:p>
        </w:tc>
        <w:tc>
          <w:tcPr>
            <w:tcW w:w="114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ind w:left="-57" w:hanging="0"/>
              <w:rPr>
                <w:color w:val="000000" w:themeColor="text1"/>
                <w:sz w:val="18"/>
                <w:szCs w:val="18"/>
              </w:rPr>
            </w:pPr>
            <w:r>
              <w:rPr>
                <w:color w:val="000000" w:themeColor="text1"/>
                <w:sz w:val="18"/>
                <w:szCs w:val="18"/>
              </w:rPr>
              <w:t>40.251,84</w:t>
            </w:r>
          </w:p>
        </w:tc>
        <w:tc>
          <w:tcPr>
            <w:tcW w:w="1507"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10.547,65</w:t>
            </w:r>
          </w:p>
        </w:tc>
        <w:tc>
          <w:tcPr>
            <w:tcW w:w="1514"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126.571,80</w:t>
            </w:r>
          </w:p>
        </w:tc>
      </w:tr>
      <w:tr>
        <w:trPr>
          <w:trHeight w:val="497" w:hRule="atLeast"/>
        </w:trPr>
        <w:tc>
          <w:tcPr>
            <w:tcW w:w="649"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929"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 xml:space="preserve">Óleo Diesel </w:t>
            </w:r>
          </w:p>
        </w:tc>
        <w:tc>
          <w:tcPr>
            <w:tcW w:w="13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16.600</w:t>
            </w:r>
          </w:p>
        </w:tc>
        <w:tc>
          <w:tcPr>
            <w:tcW w:w="143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t>7.193,33</w:t>
            </w:r>
          </w:p>
        </w:tc>
        <w:tc>
          <w:tcPr>
            <w:tcW w:w="114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t>86.319,96</w:t>
            </w:r>
          </w:p>
        </w:tc>
        <w:tc>
          <w:tcPr>
            <w:tcW w:w="1507"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514"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r>
      <w:tr>
        <w:trPr/>
        <w:tc>
          <w:tcPr>
            <w:tcW w:w="5893"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jc w:val="center"/>
              <w:rPr>
                <w:sz w:val="18"/>
                <w:szCs w:val="18"/>
              </w:rPr>
            </w:pPr>
            <w:r>
              <w:rPr>
                <w:sz w:val="18"/>
                <w:szCs w:val="18"/>
              </w:rPr>
            </w:r>
          </w:p>
        </w:tc>
        <w:tc>
          <w:tcPr>
            <w:tcW w:w="4161" w:type="dxa"/>
            <w:gridSpan w:val="4"/>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163"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t>8</w:t>
            </w:r>
          </w:p>
        </w:tc>
        <w:tc>
          <w:tcPr>
            <w:tcW w:w="292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61"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r>
          </w:p>
          <w:p>
            <w:pPr>
              <w:pStyle w:val="Normal"/>
              <w:widowControl w:val="false"/>
              <w:spacing w:lineRule="auto" w:line="276" w:before="0" w:after="120"/>
              <w:rPr>
                <w:sz w:val="18"/>
                <w:szCs w:val="18"/>
              </w:rPr>
            </w:pPr>
            <w:r>
              <w:rPr>
                <w:sz w:val="18"/>
                <w:szCs w:val="18"/>
              </w:rPr>
              <w:t xml:space="preserve">                        </w:t>
            </w:r>
            <w:r>
              <w:rPr>
                <w:sz w:val="18"/>
                <w:szCs w:val="18"/>
              </w:rPr>
              <w:t>16.630,00</w:t>
            </w:r>
          </w:p>
        </w:tc>
        <w:tc>
          <w:tcPr>
            <w:tcW w:w="4163"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R$ 199.560,00</w:t>
            </w:r>
          </w:p>
        </w:tc>
      </w:tr>
      <w:tr>
        <w:trPr/>
        <w:tc>
          <w:tcPr>
            <w:tcW w:w="6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9</w:t>
            </w:r>
          </w:p>
        </w:tc>
        <w:tc>
          <w:tcPr>
            <w:tcW w:w="292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15" w:type="dxa"/>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61"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20"/>
              <w:jc w:val="center"/>
              <w:rPr>
                <w:color w:val="000000" w:themeColor="text1"/>
                <w:sz w:val="18"/>
                <w:szCs w:val="18"/>
              </w:rPr>
            </w:pPr>
            <w:r>
              <w:rPr>
                <w:color w:val="000000" w:themeColor="text1"/>
                <w:sz w:val="18"/>
                <w:szCs w:val="18"/>
              </w:rPr>
              <w:t xml:space="preserve"> </w:t>
            </w:r>
          </w:p>
          <w:p>
            <w:pPr>
              <w:pStyle w:val="Normal"/>
              <w:widowControl w:val="false"/>
              <w:spacing w:before="0" w:after="120"/>
              <w:jc w:val="center"/>
              <w:rPr>
                <w:color w:val="000000" w:themeColor="text1"/>
                <w:sz w:val="18"/>
                <w:szCs w:val="18"/>
              </w:rPr>
            </w:pPr>
            <w:r>
              <w:rPr>
                <w:color w:val="000000" w:themeColor="text1"/>
                <w:sz w:val="18"/>
                <w:szCs w:val="18"/>
              </w:rPr>
              <w:t xml:space="preserve">        </w:t>
            </w:r>
          </w:p>
          <w:p>
            <w:pPr>
              <w:pStyle w:val="Normal"/>
              <w:widowControl w:val="false"/>
              <w:spacing w:before="0" w:after="120"/>
              <w:jc w:val="center"/>
              <w:rPr>
                <w:color w:val="000000" w:themeColor="text1"/>
                <w:sz w:val="18"/>
                <w:szCs w:val="18"/>
              </w:rPr>
            </w:pPr>
            <w:r>
              <w:rPr>
                <w:color w:val="000000" w:themeColor="text1"/>
                <w:sz w:val="18"/>
                <w:szCs w:val="18"/>
              </w:rPr>
              <w:t xml:space="preserve">     </w:t>
            </w:r>
            <w:r>
              <w:rPr>
                <w:color w:val="000000" w:themeColor="text1"/>
                <w:sz w:val="18"/>
                <w:szCs w:val="18"/>
              </w:rPr>
              <w:t>2,72</w:t>
            </w:r>
          </w:p>
        </w:tc>
        <w:tc>
          <w:tcPr>
            <w:tcW w:w="4163"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20"/>
              <w:jc w:val="center"/>
              <w:rPr>
                <w:color w:val="000000" w:themeColor="text1"/>
                <w:sz w:val="18"/>
                <w:szCs w:val="18"/>
              </w:rPr>
            </w:pPr>
            <w:r>
              <w:rPr>
                <w:color w:val="000000" w:themeColor="text1"/>
                <w:sz w:val="18"/>
                <w:szCs w:val="18"/>
              </w:rPr>
              <w:t xml:space="preserve">                      </w:t>
            </w:r>
          </w:p>
          <w:p>
            <w:pPr>
              <w:pStyle w:val="Normal"/>
              <w:widowControl w:val="false"/>
              <w:spacing w:before="0" w:after="120"/>
              <w:jc w:val="center"/>
              <w:rPr>
                <w:color w:val="000000" w:themeColor="text1"/>
                <w:sz w:val="18"/>
                <w:szCs w:val="18"/>
              </w:rPr>
            </w:pPr>
            <w:r>
              <w:rPr>
                <w:color w:val="000000" w:themeColor="text1"/>
                <w:sz w:val="18"/>
                <w:szCs w:val="18"/>
              </w:rPr>
            </w:r>
          </w:p>
          <w:p>
            <w:pPr>
              <w:pStyle w:val="Normal"/>
              <w:widowControl w:val="false"/>
              <w:spacing w:before="0" w:after="120"/>
              <w:jc w:val="center"/>
              <w:rPr>
                <w:color w:val="000000" w:themeColor="text1"/>
                <w:sz w:val="18"/>
                <w:szCs w:val="18"/>
              </w:rPr>
            </w:pPr>
            <w:r>
              <w:rPr>
                <w:color w:val="000000" w:themeColor="text1"/>
                <w:sz w:val="18"/>
                <w:szCs w:val="18"/>
              </w:rPr>
              <w:t xml:space="preserve">   </w:t>
            </w:r>
            <w:r>
              <w:rPr>
                <w:color w:val="000000" w:themeColor="text1"/>
                <w:sz w:val="18"/>
                <w:szCs w:val="18"/>
              </w:rPr>
              <w:t>32,64</w:t>
            </w:r>
          </w:p>
        </w:tc>
      </w:tr>
      <w:tr>
        <w:trPr>
          <w:trHeight w:val="431" w:hRule="atLeast"/>
        </w:trPr>
        <w:tc>
          <w:tcPr>
            <w:tcW w:w="14217" w:type="dxa"/>
            <w:gridSpan w:val="10"/>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rPr/>
            </w:pPr>
            <w:r>
              <w:rPr>
                <w:b/>
                <w:sz w:val="18"/>
                <w:szCs w:val="18"/>
              </w:rPr>
              <w:t>Endereço e contatos para a prestação dos serviços</w:t>
            </w:r>
            <w:r>
              <w:rPr>
                <w:sz w:val="18"/>
                <w:szCs w:val="18"/>
              </w:rPr>
              <w:t xml:space="preserve">: Rodovia PE 647, km 22, N4, Projeto Senador Nilo Coelho - Petrolina – PE, CEP: 56.302.970 - (087) 2101-8050 / Ramal 8056 E-mail: </w:t>
            </w:r>
            <w:hyperlink r:id="rId12">
              <w:r>
                <w:rPr>
                  <w:rStyle w:val="LinkdaInternet"/>
                  <w:color w:val="0000FF"/>
                  <w:sz w:val="18"/>
                  <w:szCs w:val="18"/>
                  <w:u w:val="single"/>
                </w:rPr>
                <w:t>cpzr.cpl@ifsertao-pe.edu.br</w:t>
              </w:r>
            </w:hyperlink>
          </w:p>
        </w:tc>
      </w:tr>
    </w:tbl>
    <w:p>
      <w:pPr>
        <w:pStyle w:val="Normal"/>
        <w:spacing w:before="0" w:after="360"/>
        <w:rPr/>
      </w:pPr>
      <w:r>
        <w:rPr/>
      </w:r>
    </w:p>
    <w:tbl>
      <w:tblPr>
        <w:tblW w:w="14225" w:type="dxa"/>
        <w:jc w:val="left"/>
        <w:tblInd w:w="55" w:type="dxa"/>
        <w:tblCellMar>
          <w:top w:w="0" w:type="dxa"/>
          <w:left w:w="98" w:type="dxa"/>
          <w:bottom w:w="0" w:type="dxa"/>
          <w:right w:w="108" w:type="dxa"/>
        </w:tblCellMar>
        <w:tblLook w:firstRow="0" w:noVBand="1" w:lastRow="0" w:firstColumn="0" w:lastColumn="0" w:noHBand="0" w:val="0400"/>
      </w:tblPr>
      <w:tblGrid>
        <w:gridCol w:w="640"/>
        <w:gridCol w:w="2870"/>
        <w:gridCol w:w="2302"/>
        <w:gridCol w:w="1291"/>
        <w:gridCol w:w="1434"/>
        <w:gridCol w:w="1384"/>
        <w:gridCol w:w="6"/>
        <w:gridCol w:w="1408"/>
        <w:gridCol w:w="1308"/>
        <w:gridCol w:w="1365"/>
        <w:gridCol w:w="215"/>
      </w:tblGrid>
      <w:tr>
        <w:trPr>
          <w:trHeight w:val="450" w:hRule="atLeast"/>
        </w:trPr>
        <w:tc>
          <w:tcPr>
            <w:tcW w:w="14223" w:type="dxa"/>
            <w:gridSpan w:val="11"/>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245" w:right="-197" w:hanging="0"/>
              <w:jc w:val="center"/>
              <w:rPr>
                <w:b/>
                <w:b/>
              </w:rPr>
            </w:pPr>
            <w:r>
              <w:rPr>
                <w:b/>
              </w:rPr>
              <w:t xml:space="preserve">GRUPO 04 (Campus Floresta/IF SERTÃO – PE – UASG 158500) </w:t>
            </w:r>
          </w:p>
          <w:p>
            <w:pPr>
              <w:pStyle w:val="Normal"/>
              <w:widowControl w:val="false"/>
              <w:ind w:right="-197" w:hanging="0"/>
              <w:rPr>
                <w:sz w:val="24"/>
                <w:szCs w:val="24"/>
              </w:rPr>
            </w:pPr>
            <w:r>
              <w:rPr>
                <w:sz w:val="24"/>
                <w:szCs w:val="24"/>
              </w:rPr>
            </w:r>
          </w:p>
        </w:tc>
      </w:tr>
      <w:tr>
        <w:trPr/>
        <w:tc>
          <w:tcPr>
            <w:tcW w:w="640"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70" w:type="dxa"/>
            <w:tcBorders>
              <w:top w:val="single" w:sz="4" w:space="0" w:color="000001"/>
              <w:left w:val="single" w:sz="4" w:space="0" w:color="000001"/>
              <w:bottom w:val="single" w:sz="4" w:space="0" w:color="000001"/>
              <w:right w:val="single" w:sz="4" w:space="0" w:color="000001"/>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2"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1"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4" w:type="dxa"/>
            <w:gridSpan w:val="2"/>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8"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5"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rPr>
            </w:pPr>
            <w:r>
              <w:rPr>
                <w:rFonts w:eastAsia="Times New Roman" w:cs="Times New Roman" w:ascii="Times New Roman" w:hAnsi="Times New Roman"/>
                <w:b/>
              </w:rPr>
              <w:t xml:space="preserve">Vlr. Estimado ANUAL (R$) </w:t>
            </w:r>
          </w:p>
          <w:p>
            <w:pPr>
              <w:pStyle w:val="Normal"/>
              <w:widowControl w:val="false"/>
              <w:ind w:left="-105" w:right="-197" w:hanging="0"/>
              <w:jc w:val="center"/>
              <w:rPr/>
            </w:pPr>
            <w:r>
              <w:rPr>
                <w:b/>
              </w:rPr>
              <w:t>F</w:t>
            </w:r>
            <w:r>
              <w:rPr/>
              <w:t xml:space="preserve"> = E X 12</w:t>
            </w:r>
          </w:p>
        </w:tc>
        <w:tc>
          <w:tcPr>
            <w:tcW w:w="215"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c>
          <w:tcPr>
            <w:tcW w:w="64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10</w:t>
            </w:r>
          </w:p>
          <w:p>
            <w:pPr>
              <w:pStyle w:val="Normal"/>
              <w:widowControl w:val="false"/>
              <w:spacing w:lineRule="auto" w:line="276" w:before="0" w:after="120"/>
              <w:jc w:val="center"/>
              <w:rPr>
                <w:sz w:val="18"/>
                <w:szCs w:val="18"/>
              </w:rPr>
            </w:pPr>
            <w:r>
              <w:rPr>
                <w:sz w:val="18"/>
                <w:szCs w:val="18"/>
              </w:rPr>
            </w:r>
          </w:p>
        </w:tc>
        <w:tc>
          <w:tcPr>
            <w:tcW w:w="287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4.508</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 </w:t>
            </w:r>
            <w:r>
              <w:rPr>
                <w:color w:val="000000" w:themeColor="text1"/>
                <w:sz w:val="18"/>
                <w:szCs w:val="18"/>
              </w:rPr>
              <w:t>R$ 6,43</w:t>
            </w:r>
          </w:p>
        </w:tc>
        <w:tc>
          <w:tcPr>
            <w:tcW w:w="138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2.415,54</w:t>
            </w:r>
          </w:p>
        </w:tc>
        <w:tc>
          <w:tcPr>
            <w:tcW w:w="141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28.986,48</w:t>
            </w:r>
          </w:p>
        </w:tc>
        <w:tc>
          <w:tcPr>
            <w:tcW w:w="1308"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6.382,27</w:t>
            </w:r>
          </w:p>
        </w:tc>
        <w:tc>
          <w:tcPr>
            <w:tcW w:w="1365"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76.587,24</w:t>
            </w:r>
          </w:p>
        </w:tc>
        <w:tc>
          <w:tcPr>
            <w:tcW w:w="215"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87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sz w:val="18"/>
                <w:szCs w:val="18"/>
              </w:rPr>
            </w:pPr>
            <w:r>
              <w:rPr>
                <w:b/>
                <w:sz w:val="18"/>
                <w:szCs w:val="18"/>
              </w:rPr>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9.154</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8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3.966,73</w:t>
            </w:r>
          </w:p>
        </w:tc>
        <w:tc>
          <w:tcPr>
            <w:tcW w:w="141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47.600,76</w:t>
            </w:r>
          </w:p>
        </w:tc>
        <w:tc>
          <w:tcPr>
            <w:tcW w:w="1308"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365"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c>
          <w:tcPr>
            <w:tcW w:w="215"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c>
          <w:tcPr>
            <w:tcW w:w="5812"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jc w:val="center"/>
              <w:rPr>
                <w:sz w:val="18"/>
                <w:szCs w:val="18"/>
              </w:rPr>
            </w:pPr>
            <w:r>
              <w:rPr>
                <w:sz w:val="18"/>
                <w:szCs w:val="18"/>
              </w:rPr>
            </w:r>
          </w:p>
        </w:tc>
        <w:tc>
          <w:tcPr>
            <w:tcW w:w="4115" w:type="dxa"/>
            <w:gridSpan w:val="4"/>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96" w:type="dxa"/>
            <w:gridSpan w:val="4"/>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11</w:t>
            </w:r>
          </w:p>
        </w:tc>
        <w:tc>
          <w:tcPr>
            <w:tcW w:w="2870"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15"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R$ 3.063,75</w:t>
            </w:r>
          </w:p>
        </w:tc>
        <w:tc>
          <w:tcPr>
            <w:tcW w:w="4296"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sz w:val="18"/>
                <w:szCs w:val="18"/>
              </w:rPr>
              <w:t>R$ 36.765,00</w:t>
            </w:r>
          </w:p>
          <w:p>
            <w:pPr>
              <w:pStyle w:val="Normal"/>
              <w:widowControl w:val="false"/>
              <w:spacing w:lineRule="auto" w:line="276" w:before="0" w:after="120"/>
              <w:rPr>
                <w:sz w:val="18"/>
                <w:szCs w:val="18"/>
              </w:rPr>
            </w:pPr>
            <w:r>
              <w:rPr>
                <w:sz w:val="18"/>
                <w:szCs w:val="18"/>
              </w:rPr>
            </w:r>
          </w:p>
        </w:tc>
      </w:tr>
      <w:tr>
        <w:trPr/>
        <w:tc>
          <w:tcPr>
            <w:tcW w:w="64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12</w:t>
            </w:r>
          </w:p>
        </w:tc>
        <w:tc>
          <w:tcPr>
            <w:tcW w:w="2870"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t>Taxa de Administração</w:t>
            </w:r>
          </w:p>
        </w:tc>
        <w:tc>
          <w:tcPr>
            <w:tcW w:w="4115"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0,94</w:t>
            </w:r>
          </w:p>
        </w:tc>
        <w:tc>
          <w:tcPr>
            <w:tcW w:w="4296"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11,28</w:t>
            </w:r>
          </w:p>
        </w:tc>
      </w:tr>
      <w:tr>
        <w:trPr/>
        <w:tc>
          <w:tcPr>
            <w:tcW w:w="14223" w:type="dxa"/>
            <w:gridSpan w:val="11"/>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rPr>
                <w:sz w:val="18"/>
                <w:szCs w:val="18"/>
              </w:rPr>
            </w:pPr>
            <w:r>
              <w:rPr>
                <w:b/>
                <w:sz w:val="18"/>
                <w:szCs w:val="18"/>
              </w:rPr>
              <w:t>Endereço e contatos para a prestação dos serviços</w:t>
            </w:r>
            <w:r>
              <w:rPr>
                <w:sz w:val="18"/>
                <w:szCs w:val="18"/>
              </w:rPr>
              <w:t xml:space="preserve">: Rua Projetada, S/N, Caetano II – N4, CEP: 56400-000 | Floresta/PE. Telefone: (87) 3877-2825/1104 – Email: </w:t>
            </w:r>
            <w:r>
              <w:rPr>
                <w:color w:val="333333"/>
                <w:sz w:val="18"/>
                <w:szCs w:val="18"/>
              </w:rPr>
              <w:t>cf.dap@ifsertao-pe.edu.br</w:t>
            </w:r>
          </w:p>
        </w:tc>
      </w:tr>
    </w:tbl>
    <w:p>
      <w:pPr>
        <w:pStyle w:val="Normal"/>
        <w:spacing w:before="0" w:after="360"/>
        <w:rPr>
          <w:sz w:val="24"/>
          <w:szCs w:val="24"/>
        </w:rPr>
      </w:pPr>
      <w:r>
        <w:rPr>
          <w:sz w:val="24"/>
          <w:szCs w:val="24"/>
        </w:rPr>
      </w:r>
    </w:p>
    <w:tbl>
      <w:tblPr>
        <w:tblW w:w="14226" w:type="dxa"/>
        <w:jc w:val="left"/>
        <w:tblInd w:w="55" w:type="dxa"/>
        <w:tblCellMar>
          <w:top w:w="0" w:type="dxa"/>
          <w:left w:w="98" w:type="dxa"/>
          <w:bottom w:w="0" w:type="dxa"/>
          <w:right w:w="108" w:type="dxa"/>
        </w:tblCellMar>
        <w:tblLook w:firstRow="0" w:noVBand="1" w:lastRow="0" w:firstColumn="0" w:lastColumn="0" w:noHBand="0" w:val="0400"/>
      </w:tblPr>
      <w:tblGrid>
        <w:gridCol w:w="641"/>
        <w:gridCol w:w="2861"/>
        <w:gridCol w:w="2300"/>
        <w:gridCol w:w="1291"/>
        <w:gridCol w:w="1434"/>
        <w:gridCol w:w="1378"/>
        <w:gridCol w:w="6"/>
        <w:gridCol w:w="1400"/>
        <w:gridCol w:w="1317"/>
        <w:gridCol w:w="1378"/>
        <w:gridCol w:w="218"/>
      </w:tblGrid>
      <w:tr>
        <w:trPr>
          <w:trHeight w:val="450" w:hRule="atLeast"/>
        </w:trPr>
        <w:tc>
          <w:tcPr>
            <w:tcW w:w="14224" w:type="dxa"/>
            <w:gridSpan w:val="11"/>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245" w:right="-197" w:hanging="0"/>
              <w:jc w:val="center"/>
              <w:rPr>
                <w:b/>
                <w:b/>
              </w:rPr>
            </w:pPr>
            <w:r>
              <w:rPr>
                <w:b/>
              </w:rPr>
              <w:t xml:space="preserve">GRUPO 05 (Campus Salgueiro/IF SERTÃO – PE – UASG 158568) </w:t>
            </w:r>
          </w:p>
          <w:p>
            <w:pPr>
              <w:pStyle w:val="Normal"/>
              <w:widowControl w:val="false"/>
              <w:ind w:right="-197" w:hanging="0"/>
              <w:rPr>
                <w:sz w:val="24"/>
                <w:szCs w:val="24"/>
              </w:rPr>
            </w:pPr>
            <w:r>
              <w:rPr>
                <w:sz w:val="24"/>
                <w:szCs w:val="24"/>
              </w:rPr>
            </w:r>
          </w:p>
        </w:tc>
      </w:tr>
      <w:tr>
        <w:trPr/>
        <w:tc>
          <w:tcPr>
            <w:tcW w:w="641"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61" w:type="dxa"/>
            <w:tcBorders>
              <w:top w:val="single" w:sz="4" w:space="0" w:color="000001"/>
              <w:left w:val="single" w:sz="4" w:space="0" w:color="000001"/>
              <w:bottom w:val="single" w:sz="4" w:space="0" w:color="000001"/>
              <w:right w:val="single" w:sz="4" w:space="0" w:color="000001"/>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0"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1"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78"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06" w:type="dxa"/>
            <w:gridSpan w:val="2"/>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17"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78"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18"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180" w:hRule="atLeast"/>
        </w:trPr>
        <w:tc>
          <w:tcPr>
            <w:tcW w:w="64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13</w:t>
            </w:r>
          </w:p>
          <w:p>
            <w:pPr>
              <w:pStyle w:val="Normal"/>
              <w:widowControl w:val="false"/>
              <w:spacing w:lineRule="auto" w:line="276" w:before="0" w:after="120"/>
              <w:jc w:val="center"/>
              <w:rPr>
                <w:sz w:val="18"/>
                <w:szCs w:val="18"/>
              </w:rPr>
            </w:pPr>
            <w:r>
              <w:rPr>
                <w:sz w:val="18"/>
                <w:szCs w:val="18"/>
              </w:rPr>
            </w:r>
          </w:p>
        </w:tc>
        <w:tc>
          <w:tcPr>
            <w:tcW w:w="286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9.045</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37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4.846,61</w:t>
            </w:r>
          </w:p>
        </w:tc>
        <w:tc>
          <w:tcPr>
            <w:tcW w:w="140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58.159,32</w:t>
            </w:r>
          </w:p>
        </w:tc>
        <w:tc>
          <w:tcPr>
            <w:tcW w:w="1317"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11.234,58</w:t>
            </w:r>
          </w:p>
        </w:tc>
        <w:tc>
          <w:tcPr>
            <w:tcW w:w="1378"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134.814,96</w:t>
            </w:r>
          </w:p>
        </w:tc>
        <w:tc>
          <w:tcPr>
            <w:tcW w:w="218"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86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3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14.315</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7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6.203,17</w:t>
            </w:r>
          </w:p>
        </w:tc>
        <w:tc>
          <w:tcPr>
            <w:tcW w:w="140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74.438,04</w:t>
            </w:r>
          </w:p>
        </w:tc>
        <w:tc>
          <w:tcPr>
            <w:tcW w:w="1317"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78"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18"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86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3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Agente Redutor Líquido automotivo do tipo Arla 32</w:t>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495</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4,48</w:t>
            </w:r>
          </w:p>
        </w:tc>
        <w:tc>
          <w:tcPr>
            <w:tcW w:w="137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184,80</w:t>
            </w:r>
          </w:p>
        </w:tc>
        <w:tc>
          <w:tcPr>
            <w:tcW w:w="140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2.217, 60</w:t>
            </w:r>
          </w:p>
        </w:tc>
        <w:tc>
          <w:tcPr>
            <w:tcW w:w="1317"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sz w:val="18"/>
                <w:szCs w:val="18"/>
              </w:rPr>
            </w:pPr>
            <w:r>
              <w:rPr>
                <w:sz w:val="18"/>
                <w:szCs w:val="18"/>
              </w:rPr>
            </w:r>
          </w:p>
        </w:tc>
        <w:tc>
          <w:tcPr>
            <w:tcW w:w="1378"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sz w:val="18"/>
                <w:szCs w:val="18"/>
              </w:rPr>
            </w:pPr>
            <w:r>
              <w:rPr>
                <w:sz w:val="18"/>
                <w:szCs w:val="18"/>
              </w:rPr>
            </w:r>
          </w:p>
        </w:tc>
        <w:tc>
          <w:tcPr>
            <w:tcW w:w="218"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c>
          <w:tcPr>
            <w:tcW w:w="5802"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jc w:val="center"/>
              <w:rPr/>
            </w:pPr>
            <w:r>
              <w:rPr/>
            </w:r>
          </w:p>
        </w:tc>
        <w:tc>
          <w:tcPr>
            <w:tcW w:w="4109" w:type="dxa"/>
            <w:gridSpan w:val="4"/>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left="-114" w:right="-105" w:hanging="30"/>
              <w:jc w:val="center"/>
              <w:rPr/>
            </w:pPr>
            <w:r>
              <w:rPr>
                <w:b/>
              </w:rPr>
              <w:t>Valor. Estimado MENSAL R$</w:t>
            </w:r>
          </w:p>
        </w:tc>
        <w:tc>
          <w:tcPr>
            <w:tcW w:w="4313" w:type="dxa"/>
            <w:gridSpan w:val="4"/>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right="-197" w:hanging="0"/>
              <w:jc w:val="center"/>
              <w:rPr/>
            </w:pPr>
            <w:r>
              <w:rPr>
                <w:b/>
              </w:rPr>
              <w:t>Valor. Estimado ANUAL R$</w:t>
            </w:r>
          </w:p>
        </w:tc>
      </w:tr>
      <w:tr>
        <w:trPr/>
        <w:tc>
          <w:tcPr>
            <w:tcW w:w="6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14</w:t>
            </w:r>
          </w:p>
        </w:tc>
        <w:tc>
          <w:tcPr>
            <w:tcW w:w="286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0" w:type="dxa"/>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09"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R$ 4.675,42</w:t>
            </w:r>
          </w:p>
        </w:tc>
        <w:tc>
          <w:tcPr>
            <w:tcW w:w="4313"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sz w:val="18"/>
                <w:szCs w:val="18"/>
              </w:rPr>
              <w:t xml:space="preserve">56.105,04       </w:t>
            </w:r>
          </w:p>
        </w:tc>
      </w:tr>
      <w:tr>
        <w:trPr/>
        <w:tc>
          <w:tcPr>
            <w:tcW w:w="6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15</w:t>
            </w:r>
          </w:p>
        </w:tc>
        <w:tc>
          <w:tcPr>
            <w:tcW w:w="286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0" w:type="dxa"/>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09"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1,59</w:t>
            </w:r>
          </w:p>
        </w:tc>
        <w:tc>
          <w:tcPr>
            <w:tcW w:w="4313"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19,08</w:t>
            </w:r>
          </w:p>
        </w:tc>
      </w:tr>
      <w:tr>
        <w:trPr/>
        <w:tc>
          <w:tcPr>
            <w:tcW w:w="14224" w:type="dxa"/>
            <w:gridSpan w:val="11"/>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pPr>
            <w:r>
              <w:rPr>
                <w:b/>
                <w:sz w:val="18"/>
                <w:szCs w:val="18"/>
              </w:rPr>
              <w:t>Endereço e contatos para a prestação dos serviços</w:t>
            </w:r>
            <w:r>
              <w:rPr>
                <w:sz w:val="18"/>
                <w:szCs w:val="18"/>
              </w:rPr>
              <w:t xml:space="preserve">: BR 232, Km 508, sentido Recife, Zona Rural, CEP: 56000-000 | Salgueiro/PE. Telefone: (87) 3421-0050. E-mail: </w:t>
            </w:r>
            <w:hyperlink r:id="rId13">
              <w:r>
                <w:rPr>
                  <w:rStyle w:val="LinkdaInternet"/>
                  <w:sz w:val="18"/>
                  <w:szCs w:val="18"/>
                  <w:u w:val="single"/>
                </w:rPr>
                <w:t>cs.cpl@ifsertao-pe.edu.br</w:t>
              </w:r>
            </w:hyperlink>
          </w:p>
        </w:tc>
      </w:tr>
    </w:tbl>
    <w:p>
      <w:pPr>
        <w:pStyle w:val="Normal"/>
        <w:spacing w:before="0" w:after="360"/>
        <w:rPr>
          <w:sz w:val="24"/>
          <w:szCs w:val="24"/>
        </w:rPr>
      </w:pPr>
      <w:r>
        <w:rPr>
          <w:sz w:val="24"/>
          <w:szCs w:val="24"/>
        </w:rPr>
      </w:r>
    </w:p>
    <w:tbl>
      <w:tblPr>
        <w:tblW w:w="14225" w:type="dxa"/>
        <w:jc w:val="left"/>
        <w:tblInd w:w="55" w:type="dxa"/>
        <w:tblCellMar>
          <w:top w:w="0" w:type="dxa"/>
          <w:left w:w="98" w:type="dxa"/>
          <w:bottom w:w="0" w:type="dxa"/>
          <w:right w:w="108" w:type="dxa"/>
        </w:tblCellMar>
        <w:tblLook w:firstRow="0" w:noVBand="1" w:lastRow="0" w:firstColumn="0" w:lastColumn="0" w:noHBand="0" w:val="0400"/>
      </w:tblPr>
      <w:tblGrid>
        <w:gridCol w:w="640"/>
        <w:gridCol w:w="2870"/>
        <w:gridCol w:w="2302"/>
        <w:gridCol w:w="1291"/>
        <w:gridCol w:w="1434"/>
        <w:gridCol w:w="1384"/>
        <w:gridCol w:w="6"/>
        <w:gridCol w:w="1408"/>
        <w:gridCol w:w="1308"/>
        <w:gridCol w:w="1365"/>
        <w:gridCol w:w="215"/>
      </w:tblGrid>
      <w:tr>
        <w:trPr>
          <w:trHeight w:val="450" w:hRule="atLeast"/>
        </w:trPr>
        <w:tc>
          <w:tcPr>
            <w:tcW w:w="14223" w:type="dxa"/>
            <w:gridSpan w:val="11"/>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245" w:right="-197" w:hanging="0"/>
              <w:jc w:val="center"/>
              <w:rPr>
                <w:b/>
                <w:b/>
                <w:sz w:val="18"/>
                <w:szCs w:val="18"/>
              </w:rPr>
            </w:pPr>
            <w:r>
              <w:rPr>
                <w:b/>
                <w:sz w:val="18"/>
                <w:szCs w:val="18"/>
              </w:rPr>
              <w:t>GRUPO 06 (Campus Ouricuri/IF SERTÃO – PE – UASG 158570)</w:t>
            </w:r>
          </w:p>
          <w:p>
            <w:pPr>
              <w:pStyle w:val="Normal"/>
              <w:widowControl w:val="false"/>
              <w:ind w:right="-197" w:hanging="0"/>
              <w:rPr>
                <w:sz w:val="18"/>
                <w:szCs w:val="18"/>
              </w:rPr>
            </w:pPr>
            <w:r>
              <w:rPr>
                <w:sz w:val="18"/>
                <w:szCs w:val="18"/>
              </w:rPr>
            </w:r>
          </w:p>
        </w:tc>
      </w:tr>
      <w:tr>
        <w:trPr/>
        <w:tc>
          <w:tcPr>
            <w:tcW w:w="640"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70" w:type="dxa"/>
            <w:tcBorders>
              <w:top w:val="single" w:sz="4" w:space="0" w:color="000001"/>
              <w:left w:val="single" w:sz="4" w:space="0" w:color="000001"/>
              <w:bottom w:val="single" w:sz="4" w:space="0" w:color="000001"/>
              <w:right w:val="single" w:sz="4" w:space="0" w:color="000001"/>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2"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1"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4"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4" w:type="dxa"/>
            <w:gridSpan w:val="2"/>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8"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5"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15"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180" w:hRule="atLeast"/>
        </w:trPr>
        <w:tc>
          <w:tcPr>
            <w:tcW w:w="64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16</w:t>
            </w:r>
          </w:p>
          <w:p>
            <w:pPr>
              <w:pStyle w:val="Normal"/>
              <w:widowControl w:val="false"/>
              <w:spacing w:lineRule="auto" w:line="276" w:before="0" w:after="120"/>
              <w:jc w:val="center"/>
              <w:rPr>
                <w:sz w:val="18"/>
                <w:szCs w:val="18"/>
              </w:rPr>
            </w:pPr>
            <w:r>
              <w:rPr>
                <w:sz w:val="18"/>
                <w:szCs w:val="18"/>
              </w:rPr>
            </w:r>
          </w:p>
        </w:tc>
        <w:tc>
          <w:tcPr>
            <w:tcW w:w="287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3.650</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38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1.955,79</w:t>
            </w:r>
          </w:p>
        </w:tc>
        <w:tc>
          <w:tcPr>
            <w:tcW w:w="141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23.469,48</w:t>
            </w:r>
          </w:p>
        </w:tc>
        <w:tc>
          <w:tcPr>
            <w:tcW w:w="1308"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6.685,79</w:t>
            </w:r>
          </w:p>
        </w:tc>
        <w:tc>
          <w:tcPr>
            <w:tcW w:w="1365"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80.229,48</w:t>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215"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87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10.700</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 </w:t>
            </w:r>
            <w:r>
              <w:rPr>
                <w:color w:val="000000" w:themeColor="text1"/>
                <w:sz w:val="18"/>
                <w:szCs w:val="18"/>
              </w:rPr>
              <w:t>R$ 5,20</w:t>
            </w:r>
          </w:p>
        </w:tc>
        <w:tc>
          <w:tcPr>
            <w:tcW w:w="138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4.636,67</w:t>
            </w:r>
          </w:p>
        </w:tc>
        <w:tc>
          <w:tcPr>
            <w:tcW w:w="141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55.640,04</w:t>
            </w:r>
          </w:p>
        </w:tc>
        <w:tc>
          <w:tcPr>
            <w:tcW w:w="1308"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5"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15"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87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Agente Redutor Líquido automotivo do tipo Arla 32</w:t>
            </w:r>
          </w:p>
        </w:tc>
        <w:tc>
          <w:tcPr>
            <w:tcW w:w="12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250</w:t>
            </w:r>
          </w:p>
        </w:tc>
        <w:tc>
          <w:tcPr>
            <w:tcW w:w="14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4,48</w:t>
            </w:r>
          </w:p>
        </w:tc>
        <w:tc>
          <w:tcPr>
            <w:tcW w:w="138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93,33</w:t>
            </w:r>
          </w:p>
        </w:tc>
        <w:tc>
          <w:tcPr>
            <w:tcW w:w="141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1.120,00</w:t>
            </w:r>
          </w:p>
        </w:tc>
        <w:tc>
          <w:tcPr>
            <w:tcW w:w="1308"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sz w:val="18"/>
                <w:szCs w:val="18"/>
              </w:rPr>
            </w:pPr>
            <w:r>
              <w:rPr>
                <w:sz w:val="18"/>
                <w:szCs w:val="18"/>
              </w:rPr>
            </w:r>
          </w:p>
        </w:tc>
        <w:tc>
          <w:tcPr>
            <w:tcW w:w="1365"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sz w:val="18"/>
                <w:szCs w:val="18"/>
              </w:rPr>
            </w:pPr>
            <w:r>
              <w:rPr>
                <w:sz w:val="18"/>
                <w:szCs w:val="18"/>
              </w:rPr>
            </w:r>
          </w:p>
        </w:tc>
        <w:tc>
          <w:tcPr>
            <w:tcW w:w="215"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c>
          <w:tcPr>
            <w:tcW w:w="5812"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jc w:val="center"/>
              <w:rPr>
                <w:sz w:val="18"/>
                <w:szCs w:val="18"/>
              </w:rPr>
            </w:pPr>
            <w:r>
              <w:rPr>
                <w:sz w:val="18"/>
                <w:szCs w:val="18"/>
              </w:rPr>
            </w:r>
          </w:p>
        </w:tc>
        <w:tc>
          <w:tcPr>
            <w:tcW w:w="4115" w:type="dxa"/>
            <w:gridSpan w:val="4"/>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96" w:type="dxa"/>
            <w:gridSpan w:val="4"/>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17</w:t>
            </w:r>
          </w:p>
        </w:tc>
        <w:tc>
          <w:tcPr>
            <w:tcW w:w="2870"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15"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R$ 4.466,67</w:t>
            </w:r>
          </w:p>
        </w:tc>
        <w:tc>
          <w:tcPr>
            <w:tcW w:w="4296"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sz w:val="18"/>
                <w:szCs w:val="18"/>
              </w:rPr>
              <w:t xml:space="preserve">53.600,04   </w:t>
            </w:r>
          </w:p>
        </w:tc>
      </w:tr>
      <w:tr>
        <w:trPr/>
        <w:tc>
          <w:tcPr>
            <w:tcW w:w="64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18</w:t>
            </w:r>
          </w:p>
        </w:tc>
        <w:tc>
          <w:tcPr>
            <w:tcW w:w="2870"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2" w:type="dxa"/>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15"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1,11</w:t>
            </w:r>
          </w:p>
        </w:tc>
        <w:tc>
          <w:tcPr>
            <w:tcW w:w="4296"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13,32</w:t>
            </w:r>
          </w:p>
        </w:tc>
      </w:tr>
      <w:tr>
        <w:trPr/>
        <w:tc>
          <w:tcPr>
            <w:tcW w:w="14223" w:type="dxa"/>
            <w:gridSpan w:val="11"/>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b/>
                <w:sz w:val="18"/>
                <w:szCs w:val="18"/>
              </w:rPr>
              <w:t>Endereço e contatos para a prestação dos serviços</w:t>
            </w:r>
            <w:r>
              <w:rPr>
                <w:sz w:val="18"/>
                <w:szCs w:val="18"/>
              </w:rPr>
              <w:t xml:space="preserve">: Estrada do Tamboril, S/N, CEP 56200-000, Ouricuri/PE. Telefones: (87) 98122-2215/98122-3778 – </w:t>
            </w:r>
            <w:r>
              <w:rPr>
                <w:b/>
                <w:sz w:val="18"/>
                <w:szCs w:val="18"/>
              </w:rPr>
              <w:t>E-mail: co.licitacao@ifsertao-pe.edu.br</w:t>
            </w:r>
          </w:p>
        </w:tc>
      </w:tr>
    </w:tbl>
    <w:p>
      <w:pPr>
        <w:pStyle w:val="Normal"/>
        <w:spacing w:lineRule="auto" w:line="276" w:before="120" w:after="120"/>
        <w:rPr>
          <w:sz w:val="18"/>
          <w:szCs w:val="18"/>
        </w:rPr>
      </w:pPr>
      <w:r>
        <w:rPr>
          <w:sz w:val="18"/>
          <w:szCs w:val="18"/>
        </w:rPr>
      </w:r>
    </w:p>
    <w:p>
      <w:pPr>
        <w:pStyle w:val="Normal"/>
        <w:spacing w:lineRule="auto" w:line="276" w:before="120" w:after="120"/>
        <w:rPr>
          <w:sz w:val="18"/>
          <w:szCs w:val="18"/>
        </w:rPr>
      </w:pPr>
      <w:r>
        <w:rPr>
          <w:sz w:val="18"/>
          <w:szCs w:val="18"/>
        </w:rPr>
      </w:r>
    </w:p>
    <w:tbl>
      <w:tblPr>
        <w:tblW w:w="14226" w:type="dxa"/>
        <w:jc w:val="left"/>
        <w:tblInd w:w="55" w:type="dxa"/>
        <w:tblCellMar>
          <w:top w:w="0" w:type="dxa"/>
          <w:left w:w="98" w:type="dxa"/>
          <w:bottom w:w="0" w:type="dxa"/>
          <w:right w:w="108" w:type="dxa"/>
        </w:tblCellMar>
        <w:tblLook w:firstRow="0" w:noVBand="1" w:lastRow="0" w:firstColumn="0" w:lastColumn="0" w:noHBand="0" w:val="0400"/>
      </w:tblPr>
      <w:tblGrid>
        <w:gridCol w:w="641"/>
        <w:gridCol w:w="2868"/>
        <w:gridCol w:w="2299"/>
        <w:gridCol w:w="1"/>
        <w:gridCol w:w="1299"/>
        <w:gridCol w:w="1443"/>
        <w:gridCol w:w="1383"/>
        <w:gridCol w:w="4"/>
        <w:gridCol w:w="3"/>
        <w:gridCol w:w="1404"/>
        <w:gridCol w:w="1303"/>
        <w:gridCol w:w="1366"/>
        <w:gridCol w:w="210"/>
      </w:tblGrid>
      <w:tr>
        <w:trPr>
          <w:trHeight w:val="450" w:hRule="atLeast"/>
        </w:trPr>
        <w:tc>
          <w:tcPr>
            <w:tcW w:w="14224" w:type="dxa"/>
            <w:gridSpan w:val="1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245" w:right="-197" w:hanging="0"/>
              <w:jc w:val="center"/>
              <w:rPr>
                <w:sz w:val="24"/>
                <w:szCs w:val="24"/>
              </w:rPr>
            </w:pPr>
            <w:r>
              <w:rPr>
                <w:b/>
              </w:rPr>
              <w:t>GRUPO 07 (Campus Santa Maria/IF SERTÃO – PE – UASG 158740)</w:t>
            </w:r>
          </w:p>
        </w:tc>
      </w:tr>
      <w:tr>
        <w:trPr/>
        <w:tc>
          <w:tcPr>
            <w:tcW w:w="641"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68" w:type="dxa"/>
            <w:tcBorders>
              <w:top w:val="single" w:sz="4" w:space="0" w:color="000001"/>
              <w:left w:val="single" w:sz="4" w:space="0" w:color="000001"/>
              <w:bottom w:val="single" w:sz="4" w:space="0" w:color="000001"/>
              <w:right w:val="single" w:sz="4" w:space="0" w:color="000001"/>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0" w:type="dxa"/>
            <w:gridSpan w:val="2"/>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9"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43"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3"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1"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3"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6"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180" w:hRule="atLeast"/>
        </w:trPr>
        <w:tc>
          <w:tcPr>
            <w:tcW w:w="64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19</w:t>
            </w:r>
          </w:p>
          <w:p>
            <w:pPr>
              <w:pStyle w:val="Normal"/>
              <w:widowControl w:val="false"/>
              <w:spacing w:lineRule="auto" w:line="276" w:before="0" w:after="120"/>
              <w:jc w:val="center"/>
              <w:rPr>
                <w:sz w:val="18"/>
                <w:szCs w:val="18"/>
              </w:rPr>
            </w:pPr>
            <w:r>
              <w:rPr>
                <w:sz w:val="18"/>
                <w:szCs w:val="18"/>
              </w:rPr>
            </w:r>
          </w:p>
        </w:tc>
        <w:tc>
          <w:tcPr>
            <w:tcW w:w="2868"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45" w:hanging="0"/>
              <w:jc w:val="both"/>
              <w:rPr>
                <w:sz w:val="18"/>
                <w:szCs w:val="18"/>
              </w:rPr>
            </w:pPr>
            <w:r>
              <w:rPr>
                <w:sz w:val="18"/>
                <w:szCs w:val="18"/>
              </w:rPr>
              <w:t>Administração, gerenciamento e</w:t>
            </w:r>
          </w:p>
          <w:p>
            <w:pPr>
              <w:pStyle w:val="Normal"/>
              <w:widowControl w:val="false"/>
              <w:jc w:val="both"/>
              <w:rPr>
                <w:sz w:val="18"/>
                <w:szCs w:val="18"/>
              </w:rPr>
            </w:pPr>
            <w:r>
              <w:rPr>
                <w:sz w:val="18"/>
                <w:szCs w:val="18"/>
              </w:rPr>
              <w:t xml:space="preserve">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1.937</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 </w:t>
            </w:r>
            <w:r>
              <w:rPr>
                <w:color w:val="000000" w:themeColor="text1"/>
                <w:sz w:val="18"/>
                <w:szCs w:val="18"/>
              </w:rPr>
              <w:t>R$ 6,43</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1.037,91</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12.454,92</w:t>
            </w:r>
          </w:p>
        </w:tc>
        <w:tc>
          <w:tcPr>
            <w:tcW w:w="1303"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5.745,05</w:t>
            </w:r>
          </w:p>
        </w:tc>
        <w:tc>
          <w:tcPr>
            <w:tcW w:w="1366"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68.940,60</w:t>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868"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10.131</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4.390,10</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52.681,20</w:t>
            </w:r>
          </w:p>
        </w:tc>
        <w:tc>
          <w:tcPr>
            <w:tcW w:w="1303"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6"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15"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868"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 xml:space="preserve">Etanol </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484</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R$ 6,00</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242,00</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2.904,00</w:t>
            </w:r>
          </w:p>
        </w:tc>
        <w:tc>
          <w:tcPr>
            <w:tcW w:w="1303"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6"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868"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Agente Redutor Líquido automotivo do tipo Arla 32</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201</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4,48</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75,04</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900,48</w:t>
            </w:r>
          </w:p>
        </w:tc>
        <w:tc>
          <w:tcPr>
            <w:tcW w:w="1303"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sz w:val="18"/>
                <w:szCs w:val="18"/>
              </w:rPr>
            </w:pPr>
            <w:r>
              <w:rPr>
                <w:sz w:val="18"/>
                <w:szCs w:val="18"/>
              </w:rPr>
            </w:r>
          </w:p>
        </w:tc>
        <w:tc>
          <w:tcPr>
            <w:tcW w:w="1366"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sz w:val="18"/>
                <w:szCs w:val="18"/>
              </w:rPr>
            </w:pPr>
            <w:r>
              <w:rPr>
                <w:sz w:val="18"/>
                <w:szCs w:val="18"/>
              </w:rPr>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c>
          <w:tcPr>
            <w:tcW w:w="5808"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jc w:val="center"/>
              <w:rPr>
                <w:sz w:val="18"/>
                <w:szCs w:val="18"/>
              </w:rPr>
            </w:pPr>
            <w:r>
              <w:rPr>
                <w:sz w:val="18"/>
                <w:szCs w:val="18"/>
              </w:rPr>
            </w:r>
          </w:p>
        </w:tc>
        <w:tc>
          <w:tcPr>
            <w:tcW w:w="4130" w:type="dxa"/>
            <w:gridSpan w:val="5"/>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86" w:type="dxa"/>
            <w:gridSpan w:val="5"/>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20</w:t>
            </w:r>
          </w:p>
        </w:tc>
        <w:tc>
          <w:tcPr>
            <w:tcW w:w="286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32"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R$ 1.852,17</w:t>
            </w:r>
          </w:p>
        </w:tc>
        <w:tc>
          <w:tcPr>
            <w:tcW w:w="4283"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jc w:val="center"/>
              <w:rPr>
                <w:color w:val="000000"/>
              </w:rPr>
            </w:pPr>
            <w:r>
              <w:rPr>
                <w:b/>
                <w:bCs/>
                <w:color w:val="000000"/>
                <w:sz w:val="18"/>
                <w:szCs w:val="18"/>
              </w:rPr>
              <w:t>22.226,04</w:t>
            </w:r>
          </w:p>
        </w:tc>
      </w:tr>
      <w:tr>
        <w:trPr/>
        <w:tc>
          <w:tcPr>
            <w:tcW w:w="6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21</w:t>
            </w:r>
          </w:p>
        </w:tc>
        <w:tc>
          <w:tcPr>
            <w:tcW w:w="286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sz w:val="18"/>
                <w:szCs w:val="18"/>
              </w:rPr>
            </w:pPr>
            <w:r>
              <w:rPr>
                <w:sz w:val="18"/>
                <w:szCs w:val="18"/>
              </w:rPr>
              <w:t xml:space="preserve">Equipamentos, acessórios e lavagem/higienização de toda frota de veículos e equipamentos do IF SERTÃO-PE. </w:t>
            </w:r>
            <w:r>
              <w:rPr>
                <w:b/>
                <w:sz w:val="18"/>
                <w:szCs w:val="18"/>
              </w:rPr>
              <w:t>CATSERV: 25518</w:t>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32"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0,76</w:t>
            </w:r>
          </w:p>
          <w:p>
            <w:pPr>
              <w:pStyle w:val="Normal"/>
              <w:widowControl w:val="false"/>
              <w:spacing w:lineRule="auto" w:line="276" w:before="0" w:after="120"/>
              <w:jc w:val="center"/>
              <w:rPr>
                <w:color w:val="000000" w:themeColor="text1"/>
                <w:sz w:val="18"/>
                <w:szCs w:val="18"/>
              </w:rPr>
            </w:pPr>
            <w:r>
              <w:rPr>
                <w:color w:val="000000" w:themeColor="text1"/>
                <w:sz w:val="18"/>
                <w:szCs w:val="18"/>
              </w:rPr>
            </w:r>
          </w:p>
        </w:tc>
        <w:tc>
          <w:tcPr>
            <w:tcW w:w="4283"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9,12</w:t>
            </w:r>
          </w:p>
        </w:tc>
      </w:tr>
      <w:tr>
        <w:trPr/>
        <w:tc>
          <w:tcPr>
            <w:tcW w:w="14224" w:type="dxa"/>
            <w:gridSpan w:val="13"/>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76" w:before="120" w:after="120"/>
              <w:jc w:val="both"/>
              <w:rPr>
                <w:sz w:val="18"/>
                <w:szCs w:val="18"/>
              </w:rPr>
            </w:pPr>
            <w:r>
              <w:rPr>
                <w:b/>
                <w:sz w:val="18"/>
                <w:szCs w:val="18"/>
              </w:rPr>
              <w:t xml:space="preserve">Endereço e contatos para a prestação dos serviços: </w:t>
            </w:r>
            <w:r>
              <w:rPr>
                <w:sz w:val="18"/>
                <w:szCs w:val="18"/>
              </w:rPr>
              <w:t>BR 428, Km 90, Zona Rural, CEP 56.380-000, Santa Maria da Boa Vista/PE. Telefone: (87) 99952-8816 – Email: csm.dap@ifsertao-pe.edu.br</w:t>
            </w:r>
          </w:p>
        </w:tc>
      </w:tr>
    </w:tbl>
    <w:p>
      <w:pPr>
        <w:pStyle w:val="Normal"/>
        <w:spacing w:before="0" w:after="360"/>
        <w:rPr>
          <w:sz w:val="24"/>
          <w:szCs w:val="24"/>
        </w:rPr>
      </w:pPr>
      <w:r>
        <w:rPr>
          <w:sz w:val="24"/>
          <w:szCs w:val="24"/>
        </w:rPr>
      </w:r>
    </w:p>
    <w:tbl>
      <w:tblPr>
        <w:tblW w:w="14226" w:type="dxa"/>
        <w:jc w:val="left"/>
        <w:tblInd w:w="55" w:type="dxa"/>
        <w:tblCellMar>
          <w:top w:w="0" w:type="dxa"/>
          <w:left w:w="98" w:type="dxa"/>
          <w:bottom w:w="0" w:type="dxa"/>
          <w:right w:w="108" w:type="dxa"/>
        </w:tblCellMar>
        <w:tblLook w:firstRow="0" w:noVBand="1" w:lastRow="0" w:firstColumn="0" w:lastColumn="0" w:noHBand="0" w:val="0400"/>
      </w:tblPr>
      <w:tblGrid>
        <w:gridCol w:w="641"/>
        <w:gridCol w:w="2868"/>
        <w:gridCol w:w="2299"/>
        <w:gridCol w:w="1"/>
        <w:gridCol w:w="1299"/>
        <w:gridCol w:w="1443"/>
        <w:gridCol w:w="1383"/>
        <w:gridCol w:w="4"/>
        <w:gridCol w:w="3"/>
        <w:gridCol w:w="1404"/>
        <w:gridCol w:w="1303"/>
        <w:gridCol w:w="1366"/>
        <w:gridCol w:w="210"/>
      </w:tblGrid>
      <w:tr>
        <w:trPr>
          <w:trHeight w:val="450" w:hRule="atLeast"/>
        </w:trPr>
        <w:tc>
          <w:tcPr>
            <w:tcW w:w="14224" w:type="dxa"/>
            <w:gridSpan w:val="1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245" w:right="-197" w:hanging="0"/>
              <w:jc w:val="center"/>
              <w:rPr>
                <w:b/>
                <w:b/>
              </w:rPr>
            </w:pPr>
            <w:r>
              <w:rPr>
                <w:b/>
              </w:rPr>
              <w:t xml:space="preserve">GRUPO 08 (Campus Serra Talhada/IF SERTÃO – PE – UASG 158741) </w:t>
            </w:r>
          </w:p>
          <w:p>
            <w:pPr>
              <w:pStyle w:val="Normal"/>
              <w:widowControl w:val="false"/>
              <w:ind w:right="-197" w:hanging="0"/>
              <w:jc w:val="center"/>
              <w:rPr>
                <w:sz w:val="18"/>
                <w:szCs w:val="18"/>
              </w:rPr>
            </w:pPr>
            <w:r>
              <w:rPr>
                <w:sz w:val="18"/>
                <w:szCs w:val="18"/>
              </w:rPr>
            </w:r>
          </w:p>
        </w:tc>
      </w:tr>
      <w:tr>
        <w:trPr/>
        <w:tc>
          <w:tcPr>
            <w:tcW w:w="641"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68" w:type="dxa"/>
            <w:tcBorders>
              <w:top w:val="single" w:sz="4" w:space="0" w:color="000001"/>
              <w:left w:val="single" w:sz="4" w:space="0" w:color="000001"/>
              <w:bottom w:val="single" w:sz="4" w:space="0" w:color="000001"/>
              <w:right w:val="single" w:sz="4" w:space="0" w:color="000001"/>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0" w:type="dxa"/>
            <w:gridSpan w:val="2"/>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9"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43"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3"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1"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3"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6" w:type="dxa"/>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180" w:hRule="atLeast"/>
        </w:trPr>
        <w:tc>
          <w:tcPr>
            <w:tcW w:w="64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22</w:t>
            </w:r>
          </w:p>
          <w:p>
            <w:pPr>
              <w:pStyle w:val="Normal"/>
              <w:widowControl w:val="false"/>
              <w:spacing w:lineRule="auto" w:line="276" w:before="0" w:after="120"/>
              <w:jc w:val="center"/>
              <w:rPr>
                <w:sz w:val="18"/>
                <w:szCs w:val="18"/>
              </w:rPr>
            </w:pPr>
            <w:r>
              <w:rPr>
                <w:sz w:val="18"/>
                <w:szCs w:val="18"/>
              </w:rPr>
            </w:r>
          </w:p>
        </w:tc>
        <w:tc>
          <w:tcPr>
            <w:tcW w:w="2868"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59"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6.131</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3.285,19</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39.422,28</w:t>
            </w:r>
          </w:p>
        </w:tc>
        <w:tc>
          <w:tcPr>
            <w:tcW w:w="1303" w:type="dxa"/>
            <w:vMerge w:val="restart"/>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7.991,81</w:t>
            </w:r>
          </w:p>
        </w:tc>
        <w:tc>
          <w:tcPr>
            <w:tcW w:w="1366" w:type="dxa"/>
            <w:vMerge w:val="restart"/>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95.901,72</w:t>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868"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sz w:val="18"/>
                <w:szCs w:val="18"/>
              </w:rPr>
            </w:pPr>
            <w:r>
              <w:rPr>
                <w:b/>
                <w:sz w:val="18"/>
                <w:szCs w:val="18"/>
              </w:rPr>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10.085</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4.370,17</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52.442,04</w:t>
            </w:r>
          </w:p>
        </w:tc>
        <w:tc>
          <w:tcPr>
            <w:tcW w:w="1303"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6"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868"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 xml:space="preserve">Etanol </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540</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R$ 6,00</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270,00</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3.240,00</w:t>
            </w:r>
          </w:p>
        </w:tc>
        <w:tc>
          <w:tcPr>
            <w:tcW w:w="1303"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6"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938" w:hRule="atLeast"/>
        </w:trPr>
        <w:tc>
          <w:tcPr>
            <w:tcW w:w="64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868"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sz w:val="18"/>
                <w:szCs w:val="18"/>
              </w:rPr>
            </w:pPr>
            <w:r>
              <w:rPr>
                <w:sz w:val="18"/>
                <w:szCs w:val="18"/>
              </w:rPr>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sz w:val="18"/>
                <w:szCs w:val="18"/>
              </w:rPr>
            </w:pPr>
            <w:r>
              <w:rPr>
                <w:sz w:val="18"/>
                <w:szCs w:val="18"/>
              </w:rPr>
              <w:t>Agente Redutor Líquido automotivo do tipo Arla 32</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178</w:t>
            </w:r>
          </w:p>
        </w:tc>
        <w:tc>
          <w:tcPr>
            <w:tcW w:w="14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4,48</w:t>
            </w:r>
          </w:p>
        </w:tc>
        <w:tc>
          <w:tcPr>
            <w:tcW w:w="13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66,45</w:t>
            </w:r>
          </w:p>
        </w:tc>
        <w:tc>
          <w:tcPr>
            <w:tcW w:w="1411"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t>797,44</w:t>
            </w:r>
          </w:p>
        </w:tc>
        <w:tc>
          <w:tcPr>
            <w:tcW w:w="1303" w:type="dxa"/>
            <w:vMerge w:val="continue"/>
            <w:tcBorders>
              <w:top w:val="single" w:sz="4" w:space="0" w:color="000001"/>
              <w:left w:val="single" w:sz="4" w:space="0" w:color="000001"/>
              <w:bottom w:val="single" w:sz="4" w:space="0" w:color="000001"/>
              <w:right w:val="single" w:sz="4" w:space="0" w:color="000001"/>
            </w:tcBorders>
            <w:shd w:color="auto" w:fill="EBF1DD" w:val="clear"/>
          </w:tcPr>
          <w:p>
            <w:pPr>
              <w:pStyle w:val="Normal"/>
              <w:widowControl w:val="false"/>
              <w:rPr>
                <w:sz w:val="18"/>
                <w:szCs w:val="18"/>
              </w:rPr>
            </w:pPr>
            <w:r>
              <w:rPr>
                <w:sz w:val="18"/>
                <w:szCs w:val="18"/>
              </w:rPr>
            </w:r>
          </w:p>
        </w:tc>
        <w:tc>
          <w:tcPr>
            <w:tcW w:w="1366" w:type="dxa"/>
            <w:vMerge w:val="continue"/>
            <w:tcBorders>
              <w:top w:val="single" w:sz="4" w:space="0" w:color="000001"/>
              <w:left w:val="single" w:sz="4" w:space="0" w:color="000001"/>
              <w:bottom w:val="single" w:sz="4" w:space="0" w:color="000001"/>
              <w:right w:val="single" w:sz="4" w:space="0" w:color="000001"/>
            </w:tcBorders>
            <w:shd w:color="auto" w:fill="C2D69B" w:val="clear"/>
          </w:tcPr>
          <w:p>
            <w:pPr>
              <w:pStyle w:val="Normal"/>
              <w:widowControl w:val="false"/>
              <w:rPr>
                <w:sz w:val="18"/>
                <w:szCs w:val="18"/>
              </w:rPr>
            </w:pPr>
            <w:r>
              <w:rPr>
                <w:sz w:val="18"/>
                <w:szCs w:val="18"/>
              </w:rPr>
            </w:r>
          </w:p>
        </w:tc>
        <w:tc>
          <w:tcPr>
            <w:tcW w:w="210"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c>
          <w:tcPr>
            <w:tcW w:w="5808" w:type="dxa"/>
            <w:gridSpan w:val="3"/>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jc w:val="center"/>
              <w:rPr>
                <w:sz w:val="18"/>
                <w:szCs w:val="18"/>
              </w:rPr>
            </w:pPr>
            <w:r>
              <w:rPr>
                <w:sz w:val="18"/>
                <w:szCs w:val="18"/>
              </w:rPr>
            </w:r>
          </w:p>
        </w:tc>
        <w:tc>
          <w:tcPr>
            <w:tcW w:w="4130" w:type="dxa"/>
            <w:gridSpan w:val="5"/>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86" w:type="dxa"/>
            <w:gridSpan w:val="5"/>
            <w:tcBorders>
              <w:top w:val="single" w:sz="4" w:space="0" w:color="000001"/>
              <w:left w:val="single" w:sz="4" w:space="0" w:color="000001"/>
              <w:bottom w:val="single" w:sz="4" w:space="0" w:color="000001"/>
              <w:right w:val="single" w:sz="4" w:space="0" w:color="000001"/>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23</w:t>
            </w:r>
          </w:p>
        </w:tc>
        <w:tc>
          <w:tcPr>
            <w:tcW w:w="286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32"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1.508,50</w:t>
            </w:r>
          </w:p>
        </w:tc>
        <w:tc>
          <w:tcPr>
            <w:tcW w:w="4283"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jc w:val="center"/>
              <w:rPr>
                <w:sz w:val="18"/>
                <w:szCs w:val="18"/>
              </w:rPr>
            </w:pPr>
            <w:r>
              <w:rPr>
                <w:sz w:val="18"/>
                <w:szCs w:val="18"/>
              </w:rPr>
              <w:t>18.102,00</w:t>
            </w:r>
          </w:p>
        </w:tc>
      </w:tr>
      <w:tr>
        <w:trPr/>
        <w:tc>
          <w:tcPr>
            <w:tcW w:w="64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24</w:t>
            </w:r>
          </w:p>
        </w:tc>
        <w:tc>
          <w:tcPr>
            <w:tcW w:w="286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32"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0,95</w:t>
            </w:r>
          </w:p>
        </w:tc>
        <w:tc>
          <w:tcPr>
            <w:tcW w:w="4283"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11,40</w:t>
            </w:r>
          </w:p>
        </w:tc>
      </w:tr>
      <w:tr>
        <w:trPr/>
        <w:tc>
          <w:tcPr>
            <w:tcW w:w="14224" w:type="dxa"/>
            <w:gridSpan w:val="13"/>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76" w:before="120" w:after="120"/>
              <w:jc w:val="both"/>
              <w:rPr>
                <w:sz w:val="18"/>
                <w:szCs w:val="18"/>
              </w:rPr>
            </w:pPr>
            <w:r>
              <w:rPr>
                <w:b/>
                <w:sz w:val="18"/>
                <w:szCs w:val="18"/>
              </w:rPr>
              <w:t xml:space="preserve">Endereço e contatos para a prestação dos serviços: </w:t>
            </w:r>
            <w:r>
              <w:rPr>
                <w:sz w:val="18"/>
                <w:szCs w:val="18"/>
              </w:rPr>
              <w:t xml:space="preserve">Rodovia PE 320, Km 126, Zona Rural, Caixa Postal 70, CEP 56900-000, Serra Talhada/PE. Telefone: (87) 98866-1978 – E-mail:  elenilson.nobre@ifsertao-pe.edu.br </w:t>
            </w:r>
          </w:p>
        </w:tc>
      </w:tr>
    </w:tbl>
    <w:p>
      <w:pPr>
        <w:pStyle w:val="Normal"/>
        <w:spacing w:before="0" w:after="360"/>
        <w:jc w:val="center"/>
        <w:rPr>
          <w:b/>
          <w:b/>
          <w:sz w:val="24"/>
          <w:szCs w:val="24"/>
        </w:rPr>
      </w:pPr>
      <w:r>
        <w:rPr>
          <w:b/>
          <w:sz w:val="24"/>
          <w:szCs w:val="24"/>
        </w:rPr>
      </w:r>
    </w:p>
    <w:p>
      <w:pPr>
        <w:pStyle w:val="Normal"/>
        <w:bidi w:val="0"/>
        <w:spacing w:lineRule="auto" w:line="360" w:before="0" w:after="0"/>
        <w:jc w:val="center"/>
        <w:rPr/>
      </w:pPr>
      <w:bookmarkStart w:id="6" w:name="_s4yusabr35r5"/>
      <w:bookmarkEnd w:id="6"/>
      <w:r>
        <w:rPr>
          <w:b/>
          <w:sz w:val="24"/>
          <w:szCs w:val="24"/>
        </w:rPr>
        <w:t>ANEXO I/C</w:t>
      </w:r>
    </w:p>
    <w:p>
      <w:pPr>
        <w:pStyle w:val="Normal"/>
        <w:bidi w:val="0"/>
        <w:spacing w:lineRule="auto" w:line="360" w:before="0" w:after="0"/>
        <w:jc w:val="center"/>
        <w:rPr>
          <w:b/>
          <w:b/>
          <w:sz w:val="22"/>
          <w:szCs w:val="22"/>
        </w:rPr>
      </w:pPr>
      <w:r>
        <w:rPr>
          <w:b/>
          <w:sz w:val="22"/>
          <w:szCs w:val="22"/>
        </w:rPr>
        <w:t>PLANILHA DE VALOR DE REFERÊNCIA PARA APLICAÇÃO DO DESCONTO</w:t>
      </w:r>
    </w:p>
    <w:p>
      <w:pPr>
        <w:pStyle w:val="Normal"/>
        <w:widowControl w:val="false"/>
        <w:ind w:left="-245" w:right="-197" w:hanging="0"/>
        <w:jc w:val="center"/>
        <w:rPr>
          <w:b/>
          <w:b/>
        </w:rPr>
      </w:pPr>
      <w:r>
        <w:rPr>
          <w:b/>
        </w:rPr>
      </w:r>
    </w:p>
    <w:tbl>
      <w:tblPr>
        <w:tblW w:w="14340" w:type="dxa"/>
        <w:jc w:val="left"/>
        <w:tblInd w:w="82" w:type="dxa"/>
        <w:tblCellMar>
          <w:top w:w="0" w:type="dxa"/>
          <w:left w:w="98" w:type="dxa"/>
          <w:bottom w:w="0" w:type="dxa"/>
          <w:right w:w="108" w:type="dxa"/>
        </w:tblCellMar>
        <w:tblLook w:firstRow="0" w:noVBand="1" w:lastRow="0" w:firstColumn="0" w:lastColumn="0" w:noHBand="0" w:val="0400"/>
      </w:tblPr>
      <w:tblGrid>
        <w:gridCol w:w="553"/>
        <w:gridCol w:w="5228"/>
        <w:gridCol w:w="852"/>
        <w:gridCol w:w="1100"/>
        <w:gridCol w:w="1510"/>
        <w:gridCol w:w="1646"/>
        <w:gridCol w:w="765"/>
        <w:gridCol w:w="1276"/>
        <w:gridCol w:w="3"/>
        <w:gridCol w:w="1405"/>
      </w:tblGrid>
      <w:tr>
        <w:trPr/>
        <w:tc>
          <w:tcPr>
            <w:tcW w:w="14338" w:type="dxa"/>
            <w:gridSpan w:val="10"/>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197" w:hanging="0"/>
              <w:jc w:val="center"/>
              <w:rPr>
                <w:b/>
                <w:b/>
              </w:rPr>
            </w:pPr>
            <w:r>
              <w:rPr>
                <w:b/>
              </w:rPr>
            </w:r>
            <w:bookmarkStart w:id="7" w:name="_1fob9te"/>
            <w:bookmarkStart w:id="8" w:name="_1fob9te"/>
            <w:bookmarkEnd w:id="8"/>
          </w:p>
          <w:p>
            <w:pPr>
              <w:pStyle w:val="Normal"/>
              <w:widowControl w:val="false"/>
              <w:ind w:left="-105" w:right="-197" w:hanging="0"/>
              <w:jc w:val="center"/>
              <w:rPr>
                <w:b/>
                <w:b/>
                <w:sz w:val="22"/>
                <w:szCs w:val="22"/>
              </w:rPr>
            </w:pPr>
            <w:r>
              <w:rPr>
                <w:b/>
                <w:sz w:val="22"/>
                <w:szCs w:val="22"/>
              </w:rPr>
              <w:t>GRUPO 01 (Reitoria/IF SERTÃO – PE – UASG 158149)</w:t>
            </w:r>
          </w:p>
          <w:p>
            <w:pPr>
              <w:pStyle w:val="Normal"/>
              <w:widowControl w:val="false"/>
              <w:ind w:left="-105" w:right="-197" w:hanging="0"/>
              <w:jc w:val="center"/>
              <w:rPr>
                <w:b/>
                <w:b/>
                <w:sz w:val="18"/>
                <w:szCs w:val="18"/>
              </w:rPr>
            </w:pPr>
            <w:r>
              <w:rPr>
                <w:b/>
                <w:sz w:val="18"/>
                <w:szCs w:val="18"/>
              </w:rPr>
            </w:r>
          </w:p>
        </w:tc>
      </w:tr>
      <w:tr>
        <w:trPr/>
        <w:tc>
          <w:tcPr>
            <w:tcW w:w="55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228"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5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0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51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SEM Desconto(R$)</w:t>
            </w:r>
          </w:p>
        </w:tc>
        <w:tc>
          <w:tcPr>
            <w:tcW w:w="164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76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27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408"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hanging="0"/>
              <w:jc w:val="center"/>
              <w:rPr>
                <w:sz w:val="18"/>
                <w:szCs w:val="18"/>
              </w:rPr>
            </w:pPr>
            <w:r>
              <w:rPr>
                <w:b/>
                <w:sz w:val="18"/>
                <w:szCs w:val="18"/>
              </w:rPr>
              <w:t xml:space="preserve">Valor Total (R$) </w:t>
            </w:r>
          </w:p>
        </w:tc>
      </w:tr>
      <w:tr>
        <w:trPr>
          <w:trHeight w:val="1343" w:hRule="atLeast"/>
        </w:trPr>
        <w:tc>
          <w:tcPr>
            <w:tcW w:w="55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w:t>
            </w:r>
          </w:p>
        </w:tc>
        <w:tc>
          <w:tcPr>
            <w:tcW w:w="522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5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tabs>
                <w:tab w:val="clear" w:pos="720"/>
                <w:tab w:val="left" w:pos="795" w:leader="none"/>
              </w:tabs>
              <w:spacing w:lineRule="auto" w:line="276" w:before="0" w:after="120"/>
              <w:rPr>
                <w:color w:val="000000" w:themeColor="text1"/>
              </w:rPr>
            </w:pPr>
            <w:r>
              <w:rPr>
                <w:color w:val="000000" w:themeColor="text1"/>
              </w:rPr>
              <w:t>10.396,75</w:t>
            </w:r>
          </w:p>
        </w:tc>
        <w:tc>
          <w:tcPr>
            <w:tcW w:w="1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jc w:val="center"/>
              <w:rPr>
                <w:color w:val="000000" w:themeColor="text1"/>
              </w:rPr>
            </w:pPr>
            <w:r>
              <w:rPr>
                <w:color w:val="000000" w:themeColor="text1"/>
              </w:rPr>
            </w:r>
          </w:p>
          <w:p>
            <w:pPr>
              <w:pStyle w:val="Normal"/>
              <w:widowControl w:val="false"/>
              <w:spacing w:lineRule="auto" w:line="276" w:before="0" w:after="120"/>
              <w:ind w:left="-57" w:hanging="0"/>
              <w:jc w:val="center"/>
              <w:rPr>
                <w:color w:val="000000" w:themeColor="text1"/>
              </w:rPr>
            </w:pPr>
            <w:r>
              <w:rPr>
                <w:color w:val="000000" w:themeColor="text1"/>
              </w:rPr>
              <w:t>124.761,00</w:t>
            </w:r>
          </w:p>
        </w:tc>
        <w:tc>
          <w:tcPr>
            <w:tcW w:w="7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2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10.033,90</w:t>
            </w:r>
          </w:p>
        </w:tc>
        <w:tc>
          <w:tcPr>
            <w:tcW w:w="140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120.406,80</w:t>
            </w:r>
          </w:p>
        </w:tc>
      </w:tr>
      <w:tr>
        <w:trPr/>
        <w:tc>
          <w:tcPr>
            <w:tcW w:w="55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t>2</w:t>
            </w:r>
          </w:p>
        </w:tc>
        <w:tc>
          <w:tcPr>
            <w:tcW w:w="522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peças, equipamentos, acessórios e lavagem/higienização</w:t>
            </w:r>
            <w:r>
              <w:rPr/>
              <w:t xml:space="preserve"> de toda frota de veículos do IF SERTÃO – PE. </w:t>
            </w:r>
            <w:r>
              <w:rPr>
                <w:b/>
              </w:rPr>
              <w:t>CATSERV:</w:t>
            </w:r>
            <w:r>
              <w:rPr/>
              <w:t xml:space="preserve"> </w:t>
            </w:r>
            <w:r>
              <w:rPr>
                <w:b/>
              </w:rPr>
              <w:t>25518</w:t>
            </w:r>
          </w:p>
        </w:tc>
        <w:tc>
          <w:tcPr>
            <w:tcW w:w="85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5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7.116,42</w:t>
            </w:r>
          </w:p>
        </w:tc>
        <w:tc>
          <w:tcPr>
            <w:tcW w:w="1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jc w:val="center"/>
              <w:rPr>
                <w:color w:val="000000" w:themeColor="text1"/>
              </w:rPr>
            </w:pPr>
            <w:r>
              <w:rPr>
                <w:color w:val="000000" w:themeColor="text1"/>
              </w:rPr>
              <w:t>85.397,04</w:t>
            </w:r>
          </w:p>
        </w:tc>
        <w:tc>
          <w:tcPr>
            <w:tcW w:w="7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2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6.618,27</w:t>
            </w:r>
          </w:p>
        </w:tc>
        <w:tc>
          <w:tcPr>
            <w:tcW w:w="140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79.419,24</w:t>
            </w:r>
          </w:p>
        </w:tc>
      </w:tr>
      <w:tr>
        <w:trPr/>
        <w:tc>
          <w:tcPr>
            <w:tcW w:w="55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pPr>
            <w:r>
              <w:rPr/>
            </w:r>
          </w:p>
        </w:tc>
        <w:tc>
          <w:tcPr>
            <w:tcW w:w="5228"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pPr>
            <w:r>
              <w:rPr/>
            </w:r>
          </w:p>
        </w:tc>
        <w:tc>
          <w:tcPr>
            <w:tcW w:w="85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pPr>
            <w:r>
              <w:rPr/>
            </w:r>
          </w:p>
        </w:tc>
        <w:tc>
          <w:tcPr>
            <w:tcW w:w="110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color w:val="000000"/>
              </w:rPr>
            </w:pPr>
            <w:r>
              <w:rPr>
                <w:color w:val="000000"/>
              </w:rPr>
            </w:r>
          </w:p>
        </w:tc>
        <w:tc>
          <w:tcPr>
            <w:tcW w:w="151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pPr>
            <w:r>
              <w:rPr/>
            </w:r>
          </w:p>
        </w:tc>
        <w:tc>
          <w:tcPr>
            <w:tcW w:w="164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sz w:val="18"/>
                <w:szCs w:val="18"/>
              </w:rPr>
            </w:pPr>
            <w:r>
              <w:rPr>
                <w:b/>
                <w:sz w:val="18"/>
                <w:szCs w:val="18"/>
              </w:rPr>
            </w:r>
          </w:p>
        </w:tc>
        <w:tc>
          <w:tcPr>
            <w:tcW w:w="76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 xml:space="preserve">Mínimo de Desconto (%) </w:t>
            </w:r>
          </w:p>
        </w:tc>
        <w:tc>
          <w:tcPr>
            <w:tcW w:w="127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sz w:val="18"/>
                <w:szCs w:val="18"/>
              </w:rPr>
            </w:pPr>
            <w:r>
              <w:rPr>
                <w:sz w:val="18"/>
                <w:szCs w:val="18"/>
              </w:rPr>
            </w:r>
          </w:p>
        </w:tc>
        <w:tc>
          <w:tcPr>
            <w:tcW w:w="1408"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sz w:val="18"/>
                <w:szCs w:val="18"/>
              </w:rPr>
            </w:pPr>
            <w:r>
              <w:rPr>
                <w:sz w:val="18"/>
                <w:szCs w:val="18"/>
              </w:rPr>
            </w:r>
          </w:p>
        </w:tc>
      </w:tr>
      <w:tr>
        <w:trPr/>
        <w:tc>
          <w:tcPr>
            <w:tcW w:w="55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3</w:t>
            </w:r>
          </w:p>
        </w:tc>
        <w:tc>
          <w:tcPr>
            <w:tcW w:w="522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lavagem/higienização de toda frota de veículos e equipamentos do IF SERTÃO-PE. </w:t>
            </w:r>
            <w:r>
              <w:rPr>
                <w:b/>
              </w:rPr>
              <w:t>CATSERV: 25518</w:t>
            </w:r>
          </w:p>
        </w:tc>
        <w:tc>
          <w:tcPr>
            <w:tcW w:w="85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510" w:type="dxa"/>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jc w:val="center"/>
              <w:rPr>
                <w:color w:val="000000" w:themeColor="text1"/>
              </w:rPr>
            </w:pPr>
            <w:r>
              <w:rPr>
                <w:color w:val="000000" w:themeColor="text1"/>
              </w:rPr>
              <w:t>1,75</w:t>
            </w:r>
          </w:p>
        </w:tc>
        <w:tc>
          <w:tcPr>
            <w:tcW w:w="1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jc w:val="center"/>
              <w:rPr>
                <w:color w:val="000000"/>
              </w:rPr>
            </w:pPr>
            <w:r>
              <w:rPr>
                <w:color w:val="000000" w:themeColor="text1"/>
              </w:rPr>
              <w:t>21,00</w:t>
            </w:r>
          </w:p>
        </w:tc>
        <w:tc>
          <w:tcPr>
            <w:tcW w:w="7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rPr>
            </w:pPr>
            <w:r>
              <w:rPr>
                <w:color w:val="000000" w:themeColor="text1"/>
              </w:rPr>
              <w:t>0,01</w:t>
            </w:r>
            <w:r>
              <w:rPr>
                <w:color w:val="000000" w:themeColor="text1"/>
                <w:sz w:val="18"/>
                <w:szCs w:val="18"/>
              </w:rPr>
              <w:t>%</w:t>
            </w:r>
          </w:p>
        </w:tc>
        <w:tc>
          <w:tcPr>
            <w:tcW w:w="12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jc w:val="center"/>
              <w:rPr>
                <w:color w:val="000000"/>
              </w:rPr>
            </w:pPr>
            <w:r>
              <w:rPr>
                <w:color w:val="000000" w:themeColor="text1"/>
              </w:rPr>
              <w:t>----</w:t>
            </w:r>
          </w:p>
        </w:tc>
        <w:tc>
          <w:tcPr>
            <w:tcW w:w="140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rPr>
            </w:pPr>
            <w:r>
              <w:rPr>
                <w:b/>
                <w:bCs/>
                <w:color w:val="000000"/>
              </w:rPr>
              <w:t>20,99</w:t>
            </w:r>
          </w:p>
          <w:p>
            <w:pPr>
              <w:pStyle w:val="Normal"/>
              <w:widowControl w:val="false"/>
              <w:spacing w:lineRule="auto" w:line="276" w:before="0" w:after="120"/>
              <w:ind w:left="-15" w:right="-50" w:hanging="0"/>
              <w:rPr>
                <w:color w:val="000000"/>
              </w:rPr>
            </w:pPr>
            <w:r>
              <w:rPr>
                <w:color w:val="000000" w:themeColor="text1"/>
              </w:rPr>
              <w:t xml:space="preserve"> </w:t>
            </w:r>
          </w:p>
          <w:p>
            <w:pPr>
              <w:pStyle w:val="Normal"/>
              <w:widowControl w:val="false"/>
              <w:spacing w:lineRule="auto" w:line="276" w:before="0" w:after="120"/>
              <w:rPr>
                <w:color w:val="000000" w:themeColor="text1"/>
              </w:rPr>
            </w:pPr>
            <w:r>
              <w:rPr>
                <w:color w:val="000000" w:themeColor="text1"/>
              </w:rPr>
            </w:r>
          </w:p>
        </w:tc>
      </w:tr>
      <w:tr>
        <w:trPr/>
        <w:tc>
          <w:tcPr>
            <w:tcW w:w="9243"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color w:val="000000" w:themeColor="text1"/>
              </w:rPr>
            </w:pPr>
            <w:r>
              <w:rPr>
                <w:b/>
              </w:rPr>
              <w:t>TOTAL (R$) SEM DESCONTO GRUPO 01</w:t>
            </w:r>
          </w:p>
        </w:tc>
        <w:tc>
          <w:tcPr>
            <w:tcW w:w="1646"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210.179,04</w:t>
            </w:r>
          </w:p>
        </w:tc>
        <w:tc>
          <w:tcPr>
            <w:tcW w:w="2044"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405"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199.847,03</w:t>
            </w:r>
          </w:p>
        </w:tc>
      </w:tr>
      <w:tr>
        <w:trPr/>
        <w:tc>
          <w:tcPr>
            <w:tcW w:w="14338" w:type="dxa"/>
            <w:gridSpan w:val="10"/>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r>
              <w:rPr>
                <w:b/>
                <w:color w:val="000000"/>
              </w:rPr>
              <w:t>Endereço e contatos para a prestação dos serviços:</w:t>
            </w:r>
            <w:r>
              <w:rPr>
                <w:color w:val="000000"/>
              </w:rPr>
              <w:t xml:space="preserve"> Ruas Aristarco Lopes, 240, Centro, Petrolina -PE. CEP 56302-100. Telefone: (87) 2101 2350/ Ramal 2354. E-mail: </w:t>
            </w:r>
            <w:r>
              <w:rPr>
                <w:rStyle w:val="Linkdainternetvisitado"/>
                <w:color w:val="0000FF"/>
                <w:u w:val="single"/>
              </w:rPr>
              <w:t xml:space="preserve">rt.clmtv@ifsertao-pe.edu.br   </w:t>
            </w:r>
            <w:r>
              <w:rPr>
                <w:color w:val="000000"/>
              </w:rPr>
              <w:t xml:space="preserve"> </w:t>
            </w:r>
          </w:p>
        </w:tc>
      </w:tr>
    </w:tbl>
    <w:p>
      <w:pPr>
        <w:pStyle w:val="Normal"/>
        <w:rPr>
          <w:b/>
          <w:b/>
          <w:sz w:val="18"/>
          <w:szCs w:val="18"/>
        </w:rPr>
      </w:pPr>
      <w:r>
        <w:rPr>
          <w:b/>
          <w:sz w:val="18"/>
          <w:szCs w:val="18"/>
        </w:rPr>
      </w:r>
    </w:p>
    <w:p>
      <w:pPr>
        <w:pStyle w:val="Normal"/>
        <w:widowControl w:val="false"/>
        <w:spacing w:lineRule="auto" w:line="276"/>
        <w:jc w:val="both"/>
        <w:rPr/>
      </w:pPr>
      <w:r>
        <w:rPr/>
        <w:t>* Valor resultante da soma dos Valores Mensal Estimado SEM Desconto multiplicado pelo percentual de 0,01% (taxa de administração).</w:t>
      </w:r>
    </w:p>
    <w:p>
      <w:pPr>
        <w:pStyle w:val="Normal"/>
        <w:rPr>
          <w:b/>
          <w:b/>
          <w:sz w:val="18"/>
          <w:szCs w:val="18"/>
        </w:rPr>
      </w:pPr>
      <w:r>
        <w:rPr>
          <w:b/>
          <w:sz w:val="18"/>
          <w:szCs w:val="18"/>
        </w:rPr>
      </w:r>
    </w:p>
    <w:p>
      <w:pPr>
        <w:pStyle w:val="Normal"/>
        <w:jc w:val="both"/>
        <w:rPr/>
      </w:pPr>
      <w:bookmarkStart w:id="9" w:name="_3znysh7"/>
      <w:bookmarkEnd w:id="9"/>
      <w:r>
        <w:rPr>
          <w:b/>
        </w:rPr>
        <w:t>Obs. 1:</w:t>
      </w:r>
      <w:r>
        <w:rPr/>
        <w:t xml:space="preserve"> Quanto aos itens 01 e 02, o VALOR TOTAL deverá ser o resultado da multiplicação do valor mensal com desconto por 12 meses; já quanto ao item 03,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white"/>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spacing w:lineRule="auto" w:line="276" w:before="0" w:after="120"/>
        <w:jc w:val="both"/>
        <w:rPr>
          <w:color w:val="000000"/>
          <w:sz w:val="18"/>
          <w:szCs w:val="18"/>
        </w:rPr>
      </w:pPr>
      <w:r>
        <w:rPr>
          <w:color w:val="000000"/>
          <w:sz w:val="18"/>
          <w:szCs w:val="18"/>
        </w:rPr>
      </w:r>
    </w:p>
    <w:p>
      <w:pPr>
        <w:pStyle w:val="Normal"/>
        <w:widowControl w:val="false"/>
        <w:spacing w:lineRule="auto" w:line="276" w:before="0" w:after="120"/>
        <w:jc w:val="both"/>
        <w:rPr>
          <w:color w:val="000000"/>
          <w:sz w:val="18"/>
          <w:szCs w:val="18"/>
        </w:rPr>
      </w:pPr>
      <w:r>
        <w:rPr>
          <w:color w:val="000000"/>
          <w:sz w:val="18"/>
          <w:szCs w:val="18"/>
        </w:rPr>
      </w:r>
    </w:p>
    <w:tbl>
      <w:tblPr>
        <w:tblW w:w="14134" w:type="dxa"/>
        <w:jc w:val="center"/>
        <w:tblInd w:w="0" w:type="dxa"/>
        <w:tblCellMar>
          <w:top w:w="0" w:type="dxa"/>
          <w:left w:w="98" w:type="dxa"/>
          <w:bottom w:w="0" w:type="dxa"/>
          <w:right w:w="108" w:type="dxa"/>
        </w:tblCellMar>
        <w:tblLook w:firstRow="0" w:noVBand="1" w:lastRow="0" w:firstColumn="0" w:lastColumn="0" w:noHBand="0" w:val="0400"/>
      </w:tblPr>
      <w:tblGrid>
        <w:gridCol w:w="561"/>
        <w:gridCol w:w="4660"/>
        <w:gridCol w:w="776"/>
        <w:gridCol w:w="1099"/>
        <w:gridCol w:w="1344"/>
        <w:gridCol w:w="1482"/>
        <w:gridCol w:w="1419"/>
        <w:gridCol w:w="1403"/>
        <w:gridCol w:w="1388"/>
      </w:tblGrid>
      <w:tr>
        <w:trPr/>
        <w:tc>
          <w:tcPr>
            <w:tcW w:w="14132" w:type="dxa"/>
            <w:gridSpan w:val="9"/>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hd w:val="clear" w:color="auto" w:fill="DBEEF3"/>
              <w:ind w:right="-197" w:hanging="0"/>
              <w:jc w:val="center"/>
              <w:rPr>
                <w:b/>
                <w:b/>
                <w:sz w:val="22"/>
                <w:szCs w:val="22"/>
              </w:rPr>
            </w:pPr>
            <w:r>
              <w:rPr>
                <w:b/>
                <w:sz w:val="22"/>
                <w:szCs w:val="22"/>
              </w:rPr>
              <w:t>GRUPO 02 (Campus Petrolina/IF SERTÃO – PE – UASG 158499)</w:t>
            </w:r>
          </w:p>
          <w:p>
            <w:pPr>
              <w:pStyle w:val="Normal"/>
              <w:widowControl w:val="false"/>
              <w:ind w:left="-105" w:right="-27" w:hanging="0"/>
              <w:jc w:val="center"/>
              <w:rPr>
                <w:b/>
                <w:b/>
                <w:sz w:val="18"/>
                <w:szCs w:val="18"/>
              </w:rPr>
            </w:pPr>
            <w:r>
              <w:rPr>
                <w:b/>
                <w:sz w:val="18"/>
                <w:szCs w:val="18"/>
              </w:rPr>
            </w:r>
          </w:p>
        </w:tc>
      </w:tr>
      <w:tr>
        <w:trPr/>
        <w:tc>
          <w:tcPr>
            <w:tcW w:w="56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4660"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77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09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34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48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41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40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8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27" w:hanging="0"/>
              <w:jc w:val="center"/>
              <w:rPr>
                <w:sz w:val="18"/>
                <w:szCs w:val="18"/>
              </w:rPr>
            </w:pPr>
            <w:r>
              <w:rPr>
                <w:b/>
                <w:sz w:val="18"/>
                <w:szCs w:val="18"/>
              </w:rPr>
              <w:t>Valor Total (R$)</w:t>
            </w:r>
          </w:p>
        </w:tc>
      </w:tr>
      <w:tr>
        <w:trPr>
          <w:trHeight w:val="1343" w:hRule="atLeast"/>
        </w:trPr>
        <w:tc>
          <w:tcPr>
            <w:tcW w:w="56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4</w:t>
            </w:r>
          </w:p>
        </w:tc>
        <w:tc>
          <w:tcPr>
            <w:tcW w:w="46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7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w:t>
            </w:r>
          </w:p>
        </w:tc>
        <w:tc>
          <w:tcPr>
            <w:tcW w:w="13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7.249,24</w:t>
            </w:r>
          </w:p>
        </w:tc>
        <w:tc>
          <w:tcPr>
            <w:tcW w:w="1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86.990,88</w:t>
            </w:r>
          </w:p>
        </w:tc>
        <w:tc>
          <w:tcPr>
            <w:tcW w:w="141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4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6.996,24</w:t>
            </w:r>
          </w:p>
        </w:tc>
        <w:tc>
          <w:tcPr>
            <w:tcW w:w="13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83.954,88</w:t>
            </w:r>
          </w:p>
        </w:tc>
      </w:tr>
      <w:tr>
        <w:trPr/>
        <w:tc>
          <w:tcPr>
            <w:tcW w:w="56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t>5</w:t>
            </w:r>
          </w:p>
        </w:tc>
        <w:tc>
          <w:tcPr>
            <w:tcW w:w="4660"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7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3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6.868,33</w:t>
            </w:r>
          </w:p>
        </w:tc>
        <w:tc>
          <w:tcPr>
            <w:tcW w:w="1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82.419,96</w:t>
            </w:r>
          </w:p>
        </w:tc>
        <w:tc>
          <w:tcPr>
            <w:tcW w:w="141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4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6.387,54</w:t>
            </w:r>
          </w:p>
        </w:tc>
        <w:tc>
          <w:tcPr>
            <w:tcW w:w="13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76.650,48</w:t>
            </w:r>
          </w:p>
        </w:tc>
      </w:tr>
      <w:tr>
        <w:trPr/>
        <w:tc>
          <w:tcPr>
            <w:tcW w:w="56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4660"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sz w:val="18"/>
                <w:szCs w:val="18"/>
              </w:rPr>
            </w:pPr>
            <w:r>
              <w:rPr>
                <w:b/>
                <w:sz w:val="18"/>
                <w:szCs w:val="18"/>
              </w:rPr>
            </w:r>
          </w:p>
        </w:tc>
        <w:tc>
          <w:tcPr>
            <w:tcW w:w="77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09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color w:val="000000" w:themeColor="text1"/>
                <w:sz w:val="18"/>
                <w:szCs w:val="18"/>
              </w:rPr>
            </w:pPr>
            <w:r>
              <w:rPr>
                <w:b/>
                <w:color w:val="000000" w:themeColor="text1"/>
                <w:sz w:val="18"/>
                <w:szCs w:val="18"/>
              </w:rPr>
            </w:r>
          </w:p>
        </w:tc>
        <w:tc>
          <w:tcPr>
            <w:tcW w:w="1344"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color w:val="000000" w:themeColor="text1"/>
                <w:sz w:val="18"/>
                <w:szCs w:val="18"/>
              </w:rPr>
            </w:pPr>
            <w:r>
              <w:rPr>
                <w:b/>
                <w:color w:val="000000" w:themeColor="text1"/>
                <w:sz w:val="18"/>
                <w:szCs w:val="18"/>
              </w:rPr>
            </w:r>
          </w:p>
        </w:tc>
        <w:tc>
          <w:tcPr>
            <w:tcW w:w="148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41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40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8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r>
      <w:tr>
        <w:trPr/>
        <w:tc>
          <w:tcPr>
            <w:tcW w:w="56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6</w:t>
            </w:r>
          </w:p>
        </w:tc>
        <w:tc>
          <w:tcPr>
            <w:tcW w:w="4660"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7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3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t xml:space="preserve">   </w:t>
            </w:r>
            <w:r>
              <w:rPr>
                <w:color w:val="000000" w:themeColor="text1"/>
              </w:rPr>
              <w:t>*1,41</w:t>
            </w:r>
          </w:p>
        </w:tc>
        <w:tc>
          <w:tcPr>
            <w:tcW w:w="1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b/>
                <w:bCs/>
                <w:color w:val="000000" w:themeColor="text1"/>
              </w:rPr>
              <w:t>16,92</w:t>
            </w:r>
          </w:p>
        </w:tc>
        <w:tc>
          <w:tcPr>
            <w:tcW w:w="141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rPr>
            </w:pPr>
            <w:r>
              <w:rPr>
                <w:color w:val="000000" w:themeColor="text1"/>
              </w:rPr>
              <w:t xml:space="preserve">   </w:t>
            </w:r>
            <w:r>
              <w:rPr>
                <w:color w:val="000000" w:themeColor="text1"/>
              </w:rPr>
              <w:t>0,01%</w:t>
            </w:r>
          </w:p>
        </w:tc>
        <w:tc>
          <w:tcPr>
            <w:tcW w:w="14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tc>
        <w:tc>
          <w:tcPr>
            <w:tcW w:w="13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rPr>
            </w:pPr>
            <w:r>
              <w:rPr>
                <w:b/>
                <w:bCs/>
                <w:color w:val="000000"/>
              </w:rPr>
              <w:t>16,91</w:t>
            </w:r>
          </w:p>
        </w:tc>
      </w:tr>
      <w:tr>
        <w:trPr/>
        <w:tc>
          <w:tcPr>
            <w:tcW w:w="8440"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color w:val="000000" w:themeColor="text1"/>
              </w:rPr>
            </w:pPr>
            <w:r>
              <w:rPr>
                <w:b/>
              </w:rPr>
              <w:t>TOTAL (R$) SEM DESCONTO - GRUPO 02</w:t>
            </w:r>
          </w:p>
        </w:tc>
        <w:tc>
          <w:tcPr>
            <w:tcW w:w="1482"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169.427,76</w:t>
            </w:r>
          </w:p>
        </w:tc>
        <w:tc>
          <w:tcPr>
            <w:tcW w:w="2822"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388"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160.622,27</w:t>
            </w:r>
          </w:p>
        </w:tc>
      </w:tr>
      <w:tr>
        <w:trPr/>
        <w:tc>
          <w:tcPr>
            <w:tcW w:w="14132" w:type="dxa"/>
            <w:gridSpan w:val="9"/>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jc w:val="both"/>
              <w:rPr/>
            </w:pPr>
            <w:r>
              <w:rPr>
                <w:b/>
              </w:rPr>
              <w:t>Endereço e contatos para a prestação dos serviços</w:t>
            </w:r>
            <w:r>
              <w:rPr/>
              <w:t xml:space="preserve">: Rua Maria Luiza de Araújo Gomes Cabral, s/n, João de Deus, CEP: 56316-686 | Petrolina/PE. Telefone: (87) 2101-4300.  </w:t>
            </w:r>
            <w:r>
              <w:rPr>
                <w:b/>
                <w:color w:val="00000A"/>
              </w:rPr>
              <w:t xml:space="preserve">E-mail: </w:t>
            </w:r>
            <w:hyperlink r:id="rId14">
              <w:r>
                <w:rPr>
                  <w:rStyle w:val="LinkdaInternet"/>
                  <w:b/>
                  <w:color w:val="0000FF"/>
                  <w:u w:val="single"/>
                </w:rPr>
                <w:t>cp.licita@ifsertao-pe.edu.br</w:t>
              </w:r>
            </w:hyperlink>
          </w:p>
        </w:tc>
      </w:tr>
    </w:tbl>
    <w:p>
      <w:pPr>
        <w:pStyle w:val="Normal"/>
        <w:widowControl w:val="false"/>
        <w:ind w:left="-245" w:right="-197"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76" w:before="0" w:after="120"/>
        <w:jc w:val="both"/>
        <w:rPr>
          <w:sz w:val="18"/>
          <w:szCs w:val="18"/>
        </w:rPr>
      </w:pPr>
      <w:r>
        <w:rPr>
          <w:sz w:val="18"/>
          <w:szCs w:val="18"/>
        </w:rPr>
        <w:t>* Valor resultante da soma dos Valores Mensal Estimado SEM Desconto multiplicado pelo percentual de 0,01% (taxa de administração).</w:t>
      </w:r>
    </w:p>
    <w:p>
      <w:pPr>
        <w:pStyle w:val="Normal"/>
        <w:jc w:val="both"/>
        <w:rPr>
          <w:sz w:val="18"/>
          <w:szCs w:val="18"/>
        </w:rPr>
      </w:pPr>
      <w:r>
        <w:rPr>
          <w:b/>
          <w:sz w:val="18"/>
          <w:szCs w:val="18"/>
        </w:rPr>
        <w:t>Obs. 1:</w:t>
      </w:r>
      <w:r>
        <w:rPr>
          <w:sz w:val="18"/>
          <w:szCs w:val="18"/>
        </w:rPr>
        <w:t xml:space="preserve"> Quanto aos itens 04 e 05, o VALOR TOTAL deverá ser o resultado da multiplicação do valor mensal com desconto por 12 meses; já quanto ao item 06, será o resultado da multiplicação do valor mensal proposto por 12 meses;</w:t>
      </w:r>
    </w:p>
    <w:p>
      <w:pPr>
        <w:pStyle w:val="Normal"/>
        <w:rPr>
          <w:b/>
          <w:b/>
          <w:sz w:val="18"/>
          <w:szCs w:val="18"/>
        </w:rPr>
      </w:pPr>
      <w:r>
        <w:rPr>
          <w:b/>
          <w:sz w:val="18"/>
          <w:szCs w:val="18"/>
        </w:rPr>
      </w:r>
    </w:p>
    <w:p>
      <w:pPr>
        <w:pStyle w:val="Normal"/>
        <w:rPr>
          <w:sz w:val="18"/>
          <w:szCs w:val="18"/>
        </w:rPr>
      </w:pPr>
      <w:r>
        <w:rPr>
          <w:b/>
          <w:sz w:val="18"/>
          <w:szCs w:val="18"/>
        </w:rPr>
        <w:t>Obs. 2:</w:t>
      </w:r>
      <w:r>
        <w:rPr>
          <w:sz w:val="18"/>
          <w:szCs w:val="18"/>
        </w:rPr>
        <w:t xml:space="preserve"> O valor mensal com desconto deverá ser o resultado da multiplicação do valor mensal estimado pelo desconto proposto pelo Licitante;</w:t>
      </w:r>
    </w:p>
    <w:p>
      <w:pPr>
        <w:pStyle w:val="Normal"/>
        <w:rPr>
          <w:b/>
          <w:b/>
          <w:sz w:val="18"/>
          <w:szCs w:val="18"/>
        </w:rPr>
      </w:pPr>
      <w:r>
        <w:rPr>
          <w:b/>
          <w:sz w:val="18"/>
          <w:szCs w:val="18"/>
        </w:rPr>
      </w:r>
    </w:p>
    <w:p>
      <w:pPr>
        <w:pStyle w:val="Normal"/>
        <w:ind w:right="388" w:hanging="0"/>
        <w:rPr>
          <w:sz w:val="18"/>
          <w:szCs w:val="18"/>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14134" w:type="dxa"/>
        <w:jc w:val="center"/>
        <w:tblInd w:w="0" w:type="dxa"/>
        <w:tblCellMar>
          <w:top w:w="0" w:type="dxa"/>
          <w:left w:w="98" w:type="dxa"/>
          <w:bottom w:w="0" w:type="dxa"/>
          <w:right w:w="108" w:type="dxa"/>
        </w:tblCellMar>
        <w:tblLook w:firstRow="0" w:noVBand="1" w:lastRow="0" w:firstColumn="0" w:lastColumn="0" w:noHBand="0" w:val="0400"/>
      </w:tblPr>
      <w:tblGrid>
        <w:gridCol w:w="545"/>
        <w:gridCol w:w="4868"/>
        <w:gridCol w:w="849"/>
        <w:gridCol w:w="1135"/>
        <w:gridCol w:w="1277"/>
        <w:gridCol w:w="1560"/>
        <w:gridCol w:w="1"/>
        <w:gridCol w:w="1131"/>
        <w:gridCol w:w="1418"/>
        <w:gridCol w:w="4"/>
        <w:gridCol w:w="1344"/>
      </w:tblGrid>
      <w:tr>
        <w:trPr/>
        <w:tc>
          <w:tcPr>
            <w:tcW w:w="14132" w:type="dxa"/>
            <w:gridSpan w:val="11"/>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245" w:right="-197" w:hanging="0"/>
              <w:jc w:val="center"/>
              <w:rPr/>
            </w:pPr>
            <w:r>
              <w:rPr>
                <w:b/>
                <w:sz w:val="22"/>
                <w:szCs w:val="22"/>
              </w:rPr>
              <w:t xml:space="preserve">GRUPO 03 (Campus Petrolina Zona Rural/IF SERTÃO – PE – UASG 158278) </w:t>
            </w:r>
          </w:p>
          <w:p>
            <w:pPr>
              <w:pStyle w:val="Normal"/>
              <w:widowControl w:val="false"/>
              <w:ind w:left="-105" w:right="-197" w:hanging="0"/>
              <w:jc w:val="center"/>
              <w:rPr>
                <w:b/>
                <w:b/>
                <w:sz w:val="18"/>
                <w:szCs w:val="18"/>
              </w:rPr>
            </w:pPr>
            <w:r>
              <w:rPr>
                <w:b/>
                <w:sz w:val="18"/>
                <w:szCs w:val="18"/>
              </w:rPr>
            </w:r>
          </w:p>
        </w:tc>
      </w:tr>
      <w:tr>
        <w:trPr/>
        <w:tc>
          <w:tcPr>
            <w:tcW w:w="54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4868"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4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3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27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(R$)</w:t>
            </w:r>
          </w:p>
        </w:tc>
        <w:tc>
          <w:tcPr>
            <w:tcW w:w="156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132"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41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48"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27" w:hanging="0"/>
              <w:jc w:val="center"/>
              <w:rPr>
                <w:b/>
                <w:b/>
                <w:sz w:val="18"/>
                <w:szCs w:val="18"/>
              </w:rPr>
            </w:pPr>
            <w:r>
              <w:rPr>
                <w:b/>
                <w:sz w:val="18"/>
                <w:szCs w:val="18"/>
              </w:rPr>
              <w:t xml:space="preserve">Valor Total </w:t>
            </w:r>
          </w:p>
          <w:p>
            <w:pPr>
              <w:pStyle w:val="Normal"/>
              <w:widowControl w:val="false"/>
              <w:ind w:left="-105" w:right="-27" w:hanging="0"/>
              <w:jc w:val="center"/>
              <w:rPr>
                <w:sz w:val="18"/>
                <w:szCs w:val="18"/>
              </w:rPr>
            </w:pPr>
            <w:r>
              <w:rPr>
                <w:b/>
                <w:sz w:val="18"/>
                <w:szCs w:val="18"/>
              </w:rPr>
              <w:t xml:space="preserve"> </w:t>
            </w:r>
            <w:r>
              <w:rPr>
                <w:b/>
                <w:sz w:val="18"/>
                <w:szCs w:val="18"/>
              </w:rPr>
              <w:t>(R$)</w:t>
            </w:r>
          </w:p>
        </w:tc>
      </w:tr>
      <w:tr>
        <w:trPr>
          <w:trHeight w:val="1343" w:hRule="atLeast"/>
        </w:trPr>
        <w:tc>
          <w:tcPr>
            <w:tcW w:w="5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7</w:t>
            </w:r>
          </w:p>
        </w:tc>
        <w:tc>
          <w:tcPr>
            <w:tcW w:w="486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color w:val="000000"/>
              </w:rPr>
            </w:r>
          </w:p>
          <w:p>
            <w:pPr>
              <w:pStyle w:val="Normal"/>
              <w:widowControl w:val="false"/>
              <w:spacing w:lineRule="auto" w:line="276" w:before="0" w:after="120"/>
              <w:rPr/>
            </w:pPr>
            <w:r>
              <w:rPr>
                <w:color w:val="000000"/>
              </w:rPr>
              <w:t>12</w:t>
            </w:r>
          </w:p>
        </w:tc>
        <w:tc>
          <w:tcPr>
            <w:tcW w:w="127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10.547,65</w:t>
            </w:r>
          </w:p>
        </w:tc>
        <w:tc>
          <w:tcPr>
            <w:tcW w:w="15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126.571,80</w:t>
            </w:r>
          </w:p>
        </w:tc>
        <w:tc>
          <w:tcPr>
            <w:tcW w:w="1132"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10.179,54</w:t>
            </w:r>
          </w:p>
        </w:tc>
        <w:tc>
          <w:tcPr>
            <w:tcW w:w="134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122.154,48</w:t>
            </w:r>
          </w:p>
        </w:tc>
      </w:tr>
      <w:tr>
        <w:trPr/>
        <w:tc>
          <w:tcPr>
            <w:tcW w:w="5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t>8</w:t>
            </w:r>
          </w:p>
        </w:tc>
        <w:tc>
          <w:tcPr>
            <w:tcW w:w="486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rPr>
            </w:pPr>
            <w:r>
              <w:rPr>
                <w:color w:val="000000"/>
              </w:rPr>
            </w:r>
          </w:p>
          <w:p>
            <w:pPr>
              <w:pStyle w:val="Normal"/>
              <w:widowControl w:val="false"/>
              <w:spacing w:lineRule="auto" w:line="276" w:before="0" w:after="120"/>
              <w:ind w:left="113" w:hanging="0"/>
              <w:rPr/>
            </w:pPr>
            <w:r>
              <w:rPr>
                <w:color w:val="000000"/>
              </w:rPr>
              <w:t>12</w:t>
            </w:r>
          </w:p>
        </w:tc>
        <w:tc>
          <w:tcPr>
            <w:tcW w:w="127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16.630,00</w:t>
            </w:r>
          </w:p>
        </w:tc>
        <w:tc>
          <w:tcPr>
            <w:tcW w:w="15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199.560,00</w:t>
            </w:r>
          </w:p>
        </w:tc>
        <w:tc>
          <w:tcPr>
            <w:tcW w:w="1132"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4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15.465,90</w:t>
            </w:r>
          </w:p>
        </w:tc>
        <w:tc>
          <w:tcPr>
            <w:tcW w:w="134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185.590,80</w:t>
            </w:r>
          </w:p>
        </w:tc>
      </w:tr>
      <w:tr>
        <w:trPr/>
        <w:tc>
          <w:tcPr>
            <w:tcW w:w="54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pPr>
            <w:r>
              <w:rPr/>
            </w:r>
          </w:p>
        </w:tc>
        <w:tc>
          <w:tcPr>
            <w:tcW w:w="4868"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rPr>
            </w:pPr>
            <w:r>
              <w:rPr>
                <w:b/>
              </w:rPr>
            </w:r>
          </w:p>
        </w:tc>
        <w:tc>
          <w:tcPr>
            <w:tcW w:w="84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pPr>
            <w:r>
              <w:rPr/>
            </w:r>
          </w:p>
        </w:tc>
        <w:tc>
          <w:tcPr>
            <w:tcW w:w="113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pPr>
            <w:r>
              <w:rPr/>
            </w:r>
          </w:p>
        </w:tc>
        <w:tc>
          <w:tcPr>
            <w:tcW w:w="1277"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color w:val="000000" w:themeColor="text1"/>
              </w:rPr>
            </w:pPr>
            <w:r>
              <w:rPr>
                <w:color w:val="000000" w:themeColor="text1"/>
              </w:rPr>
            </w:r>
          </w:p>
        </w:tc>
        <w:tc>
          <w:tcPr>
            <w:tcW w:w="156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132"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41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color w:val="000000" w:themeColor="text1"/>
                <w:sz w:val="18"/>
                <w:szCs w:val="18"/>
              </w:rPr>
            </w:pPr>
            <w:r>
              <w:rPr>
                <w:color w:val="000000" w:themeColor="text1"/>
                <w:sz w:val="18"/>
                <w:szCs w:val="18"/>
              </w:rPr>
            </w:r>
          </w:p>
        </w:tc>
        <w:tc>
          <w:tcPr>
            <w:tcW w:w="1348"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color w:val="000000" w:themeColor="text1"/>
              </w:rPr>
            </w:pPr>
            <w:r>
              <w:rPr>
                <w:color w:val="000000" w:themeColor="text1"/>
              </w:rPr>
            </w:r>
          </w:p>
        </w:tc>
      </w:tr>
      <w:tr>
        <w:trPr/>
        <w:tc>
          <w:tcPr>
            <w:tcW w:w="5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9</w:t>
            </w:r>
          </w:p>
        </w:tc>
        <w:tc>
          <w:tcPr>
            <w:tcW w:w="486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pPr>
            <w:r>
              <w:rPr/>
            </w:r>
          </w:p>
          <w:p>
            <w:pPr>
              <w:pStyle w:val="Normal"/>
              <w:widowControl w:val="false"/>
              <w:spacing w:lineRule="auto" w:line="276" w:before="0" w:after="120"/>
              <w:ind w:left="113" w:hanging="0"/>
              <w:jc w:val="center"/>
              <w:rPr/>
            </w:pPr>
            <w:r>
              <w:rPr>
                <w:color w:val="000000"/>
              </w:rPr>
              <w:t>12</w:t>
            </w:r>
          </w:p>
        </w:tc>
        <w:tc>
          <w:tcPr>
            <w:tcW w:w="127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r>
          </w:p>
          <w:p>
            <w:pPr>
              <w:pStyle w:val="Normal"/>
              <w:ind w:left="-15" w:right="-50" w:hanging="0"/>
              <w:jc w:val="center"/>
              <w:rPr/>
            </w:pPr>
            <w:r>
              <w:rPr>
                <w:color w:val="000000" w:themeColor="text1"/>
              </w:rPr>
              <w:t xml:space="preserve">   </w:t>
            </w:r>
          </w:p>
          <w:p>
            <w:pPr>
              <w:pStyle w:val="Normal"/>
              <w:ind w:left="-15" w:right="-50" w:hanging="0"/>
              <w:jc w:val="center"/>
              <w:rPr/>
            </w:pPr>
            <w:r>
              <w:rPr>
                <w:color w:val="000000" w:themeColor="text1"/>
              </w:rPr>
              <w:t>2,72</w:t>
            </w:r>
          </w:p>
        </w:tc>
        <w:tc>
          <w:tcPr>
            <w:tcW w:w="156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right="-50" w:hanging="0"/>
              <w:jc w:val="center"/>
              <w:rPr>
                <w:color w:val="000000" w:themeColor="text1"/>
              </w:rPr>
            </w:pPr>
            <w:r>
              <w:rPr>
                <w:color w:val="000000" w:themeColor="text1"/>
                <w:sz w:val="18"/>
                <w:szCs w:val="18"/>
              </w:rPr>
              <w:t>32,64</w:t>
            </w:r>
          </w:p>
        </w:tc>
        <w:tc>
          <w:tcPr>
            <w:tcW w:w="1132"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360" w:before="0" w:after="120"/>
              <w:jc w:val="center"/>
              <w:rPr>
                <w:color w:val="000000"/>
              </w:rPr>
            </w:pPr>
            <w:r>
              <w:rPr>
                <w:color w:val="000000" w:themeColor="text1"/>
              </w:rPr>
              <w:t xml:space="preserve">  </w:t>
            </w:r>
            <w:r>
              <w:rPr>
                <w:color w:val="000000" w:themeColor="text1"/>
              </w:rPr>
              <w:t>0,01</w:t>
            </w:r>
            <w:r>
              <w:rPr>
                <w:color w:val="000000" w:themeColor="text1"/>
                <w:sz w:val="18"/>
                <w:szCs w:val="18"/>
              </w:rPr>
              <w:t>%</w:t>
            </w:r>
          </w:p>
        </w:tc>
        <w:tc>
          <w:tcPr>
            <w:tcW w:w="141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tc>
        <w:tc>
          <w:tcPr>
            <w:tcW w:w="134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ind w:right="-50" w:hanging="0"/>
              <w:jc w:val="center"/>
              <w:rPr>
                <w:color w:val="000000"/>
              </w:rPr>
            </w:pPr>
            <w:bookmarkStart w:id="10" w:name="__DdeLink__6898_2783592877"/>
            <w:r>
              <w:rPr>
                <w:b/>
                <w:bCs/>
                <w:color w:val="000000"/>
                <w:sz w:val="18"/>
                <w:szCs w:val="18"/>
              </w:rPr>
              <w:t>3</w:t>
            </w:r>
            <w:bookmarkEnd w:id="10"/>
            <w:r>
              <w:rPr>
                <w:b/>
                <w:bCs/>
                <w:color w:val="000000"/>
                <w:sz w:val="18"/>
                <w:szCs w:val="18"/>
              </w:rPr>
              <w:t>2,63</w:t>
            </w:r>
          </w:p>
          <w:p>
            <w:pPr>
              <w:pStyle w:val="Normal"/>
              <w:widowControl w:val="false"/>
              <w:spacing w:lineRule="auto" w:line="276" w:before="0" w:after="120"/>
              <w:jc w:val="center"/>
              <w:rPr>
                <w:color w:val="000000" w:themeColor="text1"/>
              </w:rPr>
            </w:pPr>
            <w:r>
              <w:rPr>
                <w:color w:val="000000" w:themeColor="text1"/>
              </w:rPr>
            </w:r>
          </w:p>
        </w:tc>
      </w:tr>
      <w:tr>
        <w:trPr/>
        <w:tc>
          <w:tcPr>
            <w:tcW w:w="8674"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color w:val="000000" w:themeColor="text1"/>
              </w:rPr>
            </w:pPr>
            <w:r>
              <w:rPr>
                <w:b/>
              </w:rPr>
              <w:t>TOTAL (R$) SEM DESCONTO - GRUPO 03</w:t>
            </w:r>
          </w:p>
        </w:tc>
        <w:tc>
          <w:tcPr>
            <w:tcW w:w="1561"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326.164,44</w:t>
            </w:r>
          </w:p>
        </w:tc>
        <w:tc>
          <w:tcPr>
            <w:tcW w:w="2553"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344"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307.777,91</w:t>
            </w:r>
          </w:p>
        </w:tc>
      </w:tr>
      <w:tr>
        <w:trPr/>
        <w:tc>
          <w:tcPr>
            <w:tcW w:w="14132" w:type="dxa"/>
            <w:gridSpan w:val="11"/>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bookmarkStart w:id="11" w:name="_2et92p0"/>
            <w:bookmarkEnd w:id="11"/>
            <w:r>
              <w:rPr>
                <w:b/>
              </w:rPr>
              <w:t>Endereço e contatos para a prestação dos serviços</w:t>
            </w:r>
            <w:r>
              <w:rPr/>
              <w:t xml:space="preserve">: Rodovia PE 647, km 22, N4, Projeto Senador Nilo Coelho - Petrolina – PE, CEP: 56.302.970 - (087) 2101-8050 / Ramal 8056 E-mail: </w:t>
            </w:r>
            <w:hyperlink r:id="rId15">
              <w:r>
                <w:rPr>
                  <w:rStyle w:val="LinkdaInternet"/>
                  <w:color w:val="0000FF"/>
                  <w:u w:val="single"/>
                </w:rPr>
                <w:t>cpzr.cpl@ifsertao-pe.edu.br</w:t>
              </w:r>
            </w:hyperlink>
          </w:p>
        </w:tc>
      </w:tr>
    </w:tbl>
    <w:p>
      <w:pPr>
        <w:pStyle w:val="Normal"/>
        <w:widowControl w:val="false"/>
        <w:spacing w:lineRule="auto" w:line="276" w:before="0" w:after="120"/>
        <w:jc w:val="both"/>
        <w:rPr/>
      </w:pPr>
      <w:r>
        <w:rPr/>
      </w:r>
    </w:p>
    <w:p>
      <w:pPr>
        <w:pStyle w:val="Normal"/>
        <w:widowControl w:val="false"/>
        <w:spacing w:lineRule="auto" w:line="276" w:before="0" w:after="120"/>
        <w:jc w:val="both"/>
        <w:rPr/>
      </w:pPr>
      <w:r>
        <w:rPr/>
        <w:t>* Valor resultante da soma dos Valores Mensal Estimado SEM Desconto multiplicado pelo percentual de 0,01% (taxa de administração).</w:t>
      </w:r>
    </w:p>
    <w:p>
      <w:pPr>
        <w:pStyle w:val="Normal"/>
        <w:jc w:val="both"/>
        <w:rPr/>
      </w:pPr>
      <w:r>
        <w:rPr>
          <w:b/>
        </w:rPr>
        <w:t>Obs. 1:</w:t>
      </w:r>
      <w:r>
        <w:rPr/>
        <w:t xml:space="preserve"> Quanto aos itens 07 e 08, o VALOR TOTAL deverá ser o resultado da multiplicação do valor mensal com desconto por 12 meses; já quanto ao item 09,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widowControl w:val="false"/>
        <w:spacing w:lineRule="auto" w:line="276" w:before="0" w:after="120"/>
        <w:jc w:val="both"/>
        <w:rPr/>
      </w:pPr>
      <w:r>
        <w:rPr/>
      </w:r>
    </w:p>
    <w:tbl>
      <w:tblPr>
        <w:tblW w:w="14139" w:type="dxa"/>
        <w:jc w:val="center"/>
        <w:tblInd w:w="0" w:type="dxa"/>
        <w:tblCellMar>
          <w:top w:w="0" w:type="dxa"/>
          <w:left w:w="98" w:type="dxa"/>
          <w:bottom w:w="0" w:type="dxa"/>
          <w:right w:w="108" w:type="dxa"/>
        </w:tblCellMar>
        <w:tblLook w:firstRow="0" w:noVBand="1" w:lastRow="0" w:firstColumn="0" w:lastColumn="0" w:noHBand="0" w:val="0400"/>
      </w:tblPr>
      <w:tblGrid>
        <w:gridCol w:w="524"/>
        <w:gridCol w:w="5017"/>
        <w:gridCol w:w="849"/>
        <w:gridCol w:w="1100"/>
        <w:gridCol w:w="1336"/>
        <w:gridCol w:w="1417"/>
        <w:gridCol w:w="1160"/>
        <w:gridCol w:w="1375"/>
        <w:gridCol w:w="2"/>
        <w:gridCol w:w="1357"/>
      </w:tblGrid>
      <w:tr>
        <w:trPr/>
        <w:tc>
          <w:tcPr>
            <w:tcW w:w="14137" w:type="dxa"/>
            <w:gridSpan w:val="10"/>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245" w:right="-197" w:hanging="0"/>
              <w:jc w:val="center"/>
              <w:rPr>
                <w:b/>
                <w:b/>
                <w:sz w:val="22"/>
                <w:szCs w:val="22"/>
              </w:rPr>
            </w:pPr>
            <w:r>
              <w:rPr>
                <w:b/>
                <w:sz w:val="22"/>
                <w:szCs w:val="22"/>
              </w:rPr>
              <w:t xml:space="preserve">GRUPO 04 (Campus Floresta/IF SERTÃO – PE – UASG 158500) </w:t>
            </w:r>
          </w:p>
          <w:p>
            <w:pPr>
              <w:pStyle w:val="Normal"/>
              <w:widowControl w:val="false"/>
              <w:ind w:left="-105" w:right="-197" w:hanging="0"/>
              <w:jc w:val="center"/>
              <w:rPr>
                <w:b/>
                <w:b/>
                <w:sz w:val="18"/>
                <w:szCs w:val="18"/>
              </w:rPr>
            </w:pPr>
            <w:r>
              <w:rPr>
                <w:b/>
                <w:sz w:val="18"/>
                <w:szCs w:val="18"/>
              </w:rPr>
            </w:r>
          </w:p>
        </w:tc>
      </w:tr>
      <w:tr>
        <w:trPr/>
        <w:tc>
          <w:tcPr>
            <w:tcW w:w="52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Item</w:t>
            </w:r>
          </w:p>
          <w:p>
            <w:pPr>
              <w:pStyle w:val="Normal"/>
              <w:widowControl w:val="false"/>
              <w:ind w:left="-107" w:right="-133" w:hanging="0"/>
              <w:jc w:val="center"/>
              <w:rPr>
                <w:b/>
                <w:b/>
                <w:sz w:val="18"/>
                <w:szCs w:val="18"/>
              </w:rPr>
            </w:pPr>
            <w:r>
              <w:rPr>
                <w:b/>
                <w:sz w:val="18"/>
                <w:szCs w:val="18"/>
              </w:rPr>
            </w:r>
          </w:p>
        </w:tc>
        <w:tc>
          <w:tcPr>
            <w:tcW w:w="5017"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07" w:right="-133" w:hanging="0"/>
              <w:jc w:val="center"/>
              <w:rPr>
                <w:b/>
                <w:b/>
                <w:sz w:val="18"/>
                <w:szCs w:val="18"/>
              </w:rPr>
            </w:pPr>
            <w:r>
              <w:rPr>
                <w:b/>
                <w:sz w:val="18"/>
                <w:szCs w:val="18"/>
              </w:rPr>
              <w:t>Descrição/</w:t>
            </w:r>
          </w:p>
          <w:p>
            <w:pPr>
              <w:pStyle w:val="Normal"/>
              <w:widowControl w:val="false"/>
              <w:ind w:left="-107" w:right="-133" w:hanging="0"/>
              <w:jc w:val="center"/>
              <w:rPr>
                <w:b/>
                <w:b/>
                <w:sz w:val="18"/>
                <w:szCs w:val="18"/>
              </w:rPr>
            </w:pPr>
            <w:r>
              <w:rPr>
                <w:b/>
                <w:sz w:val="18"/>
                <w:szCs w:val="18"/>
              </w:rPr>
              <w:t>Especificação</w:t>
            </w:r>
          </w:p>
        </w:tc>
        <w:tc>
          <w:tcPr>
            <w:tcW w:w="84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Unidade </w:t>
            </w:r>
          </w:p>
        </w:tc>
        <w:tc>
          <w:tcPr>
            <w:tcW w:w="110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33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41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16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5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27" w:hanging="0"/>
              <w:jc w:val="center"/>
              <w:rPr>
                <w:sz w:val="18"/>
                <w:szCs w:val="18"/>
              </w:rPr>
            </w:pPr>
            <w:r>
              <w:rPr>
                <w:b/>
                <w:sz w:val="18"/>
                <w:szCs w:val="18"/>
              </w:rPr>
              <w:t>Valor Total (R$)</w:t>
            </w:r>
          </w:p>
        </w:tc>
      </w:tr>
      <w:tr>
        <w:trPr>
          <w:trHeight w:val="1343" w:hRule="atLeast"/>
        </w:trPr>
        <w:tc>
          <w:tcPr>
            <w:tcW w:w="5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10</w:t>
            </w:r>
          </w:p>
        </w:tc>
        <w:tc>
          <w:tcPr>
            <w:tcW w:w="501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color w:val="000000"/>
              </w:rPr>
            </w:r>
          </w:p>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3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6.382,27</w:t>
            </w:r>
          </w:p>
        </w:tc>
        <w:tc>
          <w:tcPr>
            <w:tcW w:w="141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76.587,24</w:t>
            </w:r>
          </w:p>
        </w:tc>
        <w:tc>
          <w:tcPr>
            <w:tcW w:w="11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5.944,56</w:t>
            </w:r>
          </w:p>
        </w:tc>
        <w:tc>
          <w:tcPr>
            <w:tcW w:w="13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71.334,72</w:t>
            </w:r>
          </w:p>
        </w:tc>
      </w:tr>
      <w:tr>
        <w:trPr/>
        <w:tc>
          <w:tcPr>
            <w:tcW w:w="5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t>11</w:t>
            </w:r>
          </w:p>
        </w:tc>
        <w:tc>
          <w:tcPr>
            <w:tcW w:w="5017"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3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3.063,75</w:t>
            </w:r>
          </w:p>
        </w:tc>
        <w:tc>
          <w:tcPr>
            <w:tcW w:w="141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36.765,00</w:t>
            </w:r>
          </w:p>
        </w:tc>
        <w:tc>
          <w:tcPr>
            <w:tcW w:w="116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3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2.849,29</w:t>
            </w:r>
          </w:p>
        </w:tc>
        <w:tc>
          <w:tcPr>
            <w:tcW w:w="13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34.191,48</w:t>
            </w:r>
          </w:p>
        </w:tc>
      </w:tr>
      <w:tr>
        <w:trPr>
          <w:trHeight w:val="575" w:hRule="atLeast"/>
        </w:trPr>
        <w:tc>
          <w:tcPr>
            <w:tcW w:w="52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rPr>
            </w:pPr>
            <w:r>
              <w:rPr>
                <w:b/>
              </w:rPr>
            </w:r>
          </w:p>
        </w:tc>
        <w:tc>
          <w:tcPr>
            <w:tcW w:w="5017"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rPr>
            </w:pPr>
            <w:r>
              <w:rPr>
                <w:b/>
              </w:rPr>
            </w:r>
          </w:p>
        </w:tc>
        <w:tc>
          <w:tcPr>
            <w:tcW w:w="84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0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color w:val="000000" w:themeColor="text1"/>
                <w:sz w:val="18"/>
                <w:szCs w:val="18"/>
              </w:rPr>
            </w:pPr>
            <w:r>
              <w:rPr>
                <w:b/>
                <w:color w:val="000000" w:themeColor="text1"/>
                <w:sz w:val="18"/>
                <w:szCs w:val="18"/>
              </w:rPr>
            </w:r>
          </w:p>
        </w:tc>
        <w:tc>
          <w:tcPr>
            <w:tcW w:w="1336"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color w:val="000000" w:themeColor="text1"/>
                <w:sz w:val="18"/>
                <w:szCs w:val="18"/>
              </w:rPr>
            </w:pPr>
            <w:r>
              <w:rPr>
                <w:b/>
                <w:color w:val="000000" w:themeColor="text1"/>
                <w:sz w:val="18"/>
                <w:szCs w:val="18"/>
              </w:rPr>
            </w:r>
          </w:p>
        </w:tc>
        <w:tc>
          <w:tcPr>
            <w:tcW w:w="1417"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16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37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5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r>
      <w:tr>
        <w:trPr/>
        <w:tc>
          <w:tcPr>
            <w:tcW w:w="5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12</w:t>
            </w:r>
          </w:p>
        </w:tc>
        <w:tc>
          <w:tcPr>
            <w:tcW w:w="5017"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color w:val="000000" w:themeColor="text1"/>
              </w:rPr>
            </w:pPr>
            <w:r>
              <w:rPr>
                <w:color w:val="000000" w:themeColor="text1"/>
              </w:rPr>
            </w:r>
          </w:p>
          <w:p>
            <w:pPr>
              <w:pStyle w:val="Normal"/>
              <w:widowControl w:val="false"/>
              <w:spacing w:lineRule="auto" w:line="276" w:before="0" w:after="120"/>
              <w:ind w:left="113" w:hanging="0"/>
              <w:jc w:val="center"/>
              <w:rPr>
                <w:color w:val="000000" w:themeColor="text1"/>
              </w:rPr>
            </w:pPr>
            <w:r>
              <w:rPr>
                <w:color w:val="000000" w:themeColor="text1"/>
              </w:rPr>
              <w:t>12</w:t>
            </w:r>
          </w:p>
        </w:tc>
        <w:tc>
          <w:tcPr>
            <w:tcW w:w="133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t>*0,94</w:t>
            </w:r>
          </w:p>
        </w:tc>
        <w:tc>
          <w:tcPr>
            <w:tcW w:w="14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right="-50" w:hanging="0"/>
              <w:jc w:val="center"/>
              <w:rPr>
                <w:color w:val="000000"/>
              </w:rPr>
            </w:pPr>
            <w:r>
              <w:rPr>
                <w:color w:val="000000" w:themeColor="text1"/>
              </w:rPr>
              <w:t>11,28</w:t>
            </w:r>
          </w:p>
        </w:tc>
        <w:tc>
          <w:tcPr>
            <w:tcW w:w="116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360" w:before="0" w:after="120"/>
              <w:jc w:val="center"/>
              <w:rPr>
                <w:color w:val="000000"/>
              </w:rPr>
            </w:pPr>
            <w:r>
              <w:rPr>
                <w:color w:val="000000" w:themeColor="text1"/>
              </w:rPr>
              <w:t xml:space="preserve">  </w:t>
            </w:r>
            <w:r>
              <w:rPr>
                <w:color w:val="000000" w:themeColor="text1"/>
              </w:rPr>
              <w:t>0,01</w:t>
            </w:r>
            <w:r>
              <w:rPr>
                <w:color w:val="000000" w:themeColor="text1"/>
                <w:sz w:val="18"/>
                <w:szCs w:val="18"/>
              </w:rPr>
              <w:t>%</w:t>
            </w:r>
          </w:p>
        </w:tc>
        <w:tc>
          <w:tcPr>
            <w:tcW w:w="13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tc>
        <w:tc>
          <w:tcPr>
            <w:tcW w:w="135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b/>
                <w:b/>
                <w:bCs/>
                <w:color w:val="000000"/>
              </w:rPr>
            </w:pPr>
            <w:r>
              <w:rPr>
                <w:b/>
                <w:bCs/>
                <w:color w:val="000000"/>
              </w:rPr>
            </w:r>
          </w:p>
          <w:p>
            <w:pPr>
              <w:pStyle w:val="Normal"/>
              <w:widowControl w:val="false"/>
              <w:spacing w:lineRule="auto" w:line="276" w:before="0" w:after="120"/>
              <w:ind w:right="-50" w:hanging="0"/>
              <w:jc w:val="center"/>
              <w:rPr>
                <w:color w:val="000000"/>
              </w:rPr>
            </w:pPr>
            <w:r>
              <w:rPr>
                <w:b/>
                <w:bCs/>
                <w:color w:val="000000"/>
              </w:rPr>
              <w:t>11,27</w:t>
            </w:r>
          </w:p>
          <w:p>
            <w:pPr>
              <w:pStyle w:val="Normal"/>
              <w:widowControl w:val="false"/>
              <w:spacing w:lineRule="auto" w:line="276" w:before="0" w:after="120"/>
              <w:jc w:val="center"/>
              <w:rPr>
                <w:b/>
                <w:b/>
                <w:bCs/>
                <w:color w:val="000000"/>
              </w:rPr>
            </w:pPr>
            <w:r>
              <w:rPr>
                <w:b/>
                <w:bCs/>
                <w:color w:val="000000"/>
              </w:rPr>
            </w:r>
          </w:p>
        </w:tc>
      </w:tr>
      <w:tr>
        <w:trPr>
          <w:trHeight w:val="549" w:hRule="atLeast"/>
        </w:trPr>
        <w:tc>
          <w:tcPr>
            <w:tcW w:w="8826"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color w:val="000000" w:themeColor="text1"/>
              </w:rPr>
            </w:pPr>
            <w:r>
              <w:rPr>
                <w:b/>
              </w:rPr>
              <w:t>TOTAL (R$) SEM DESCONTO - GRUPO 04</w:t>
            </w:r>
          </w:p>
        </w:tc>
        <w:tc>
          <w:tcPr>
            <w:tcW w:w="1417"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113.363,52</w:t>
            </w:r>
          </w:p>
        </w:tc>
        <w:tc>
          <w:tcPr>
            <w:tcW w:w="2537"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357"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105.537,47</w:t>
            </w:r>
          </w:p>
        </w:tc>
      </w:tr>
      <w:tr>
        <w:trPr/>
        <w:tc>
          <w:tcPr>
            <w:tcW w:w="14137" w:type="dxa"/>
            <w:gridSpan w:val="10"/>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bookmarkStart w:id="12" w:name="_tyjcwt"/>
            <w:bookmarkEnd w:id="12"/>
            <w:r>
              <w:rPr>
                <w:b/>
              </w:rPr>
              <w:t>Endereço e contatos para a prestação dos serviços</w:t>
            </w:r>
            <w:r>
              <w:rPr/>
              <w:t>: Rua Projetada, S/N, Caetano II – N4,</w:t>
              <w:br/>
              <w:t xml:space="preserve">CEP: 56400-000 | Floresta/PE. Telefone: (87) 3877-2825/1104 – Email: </w:t>
            </w:r>
            <w:hyperlink r:id="rId16">
              <w:r>
                <w:rPr>
                  <w:rStyle w:val="LinkdaInternet"/>
                  <w:color w:val="0000FF"/>
                  <w:u w:val="single"/>
                </w:rPr>
                <w:t>cf.dap@ifsertao-pe.edu.br</w:t>
              </w:r>
            </w:hyperlink>
          </w:p>
        </w:tc>
      </w:tr>
    </w:tbl>
    <w:p>
      <w:pPr>
        <w:pStyle w:val="Normal"/>
        <w:widowControl w:val="false"/>
        <w:spacing w:lineRule="auto" w:line="276" w:before="0" w:after="120"/>
        <w:jc w:val="both"/>
        <w:rPr>
          <w:color w:val="333333"/>
          <w:sz w:val="18"/>
          <w:szCs w:val="18"/>
        </w:rPr>
      </w:pPr>
      <w:r>
        <w:rPr>
          <w:color w:val="333333"/>
          <w:sz w:val="18"/>
          <w:szCs w:val="18"/>
        </w:rPr>
      </w:r>
    </w:p>
    <w:p>
      <w:pPr>
        <w:pStyle w:val="Normal"/>
        <w:rPr/>
      </w:pPr>
      <w:r>
        <w:rPr/>
        <w:t>* Valor resultante da soma dos Valores Mensal Estimado SEM Desconto multiplicado pelo percentual de 0,01% (taxa de administração).</w:t>
      </w:r>
    </w:p>
    <w:p>
      <w:pPr>
        <w:pStyle w:val="Normal"/>
        <w:rPr/>
      </w:pPr>
      <w:r>
        <w:rPr/>
      </w:r>
    </w:p>
    <w:p>
      <w:pPr>
        <w:pStyle w:val="Normal"/>
        <w:jc w:val="both"/>
        <w:rPr/>
      </w:pPr>
      <w:r>
        <w:rPr>
          <w:b/>
        </w:rPr>
        <w:t>Obs. 1:</w:t>
      </w:r>
      <w:r>
        <w:rPr/>
        <w:t xml:space="preserve"> Quanto aos itens 10 e 11, o VALOR TOTAL deverá ser o resultado da multiplicação do valor mensal com desconto por 12 meses; já quanto ao item 12,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rFonts w:ascii="Times New Roman" w:hAnsi="Times New Roman" w:eastAsia="Times New Roman" w:cs="Times New Roman"/>
          <w:sz w:val="18"/>
          <w:szCs w:val="18"/>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14134" w:type="dxa"/>
        <w:jc w:val="center"/>
        <w:tblInd w:w="0" w:type="dxa"/>
        <w:tblCellMar>
          <w:top w:w="0" w:type="dxa"/>
          <w:left w:w="98" w:type="dxa"/>
          <w:bottom w:w="0" w:type="dxa"/>
          <w:right w:w="108" w:type="dxa"/>
        </w:tblCellMar>
        <w:tblLook w:firstRow="0" w:noVBand="1" w:lastRow="0" w:firstColumn="0" w:lastColumn="0" w:noHBand="0" w:val="0400"/>
      </w:tblPr>
      <w:tblGrid>
        <w:gridCol w:w="551"/>
        <w:gridCol w:w="5006"/>
        <w:gridCol w:w="851"/>
        <w:gridCol w:w="1131"/>
        <w:gridCol w:w="1416"/>
        <w:gridCol w:w="1"/>
        <w:gridCol w:w="1374"/>
        <w:gridCol w:w="1"/>
        <w:gridCol w:w="1036"/>
        <w:gridCol w:w="1391"/>
        <w:gridCol w:w="2"/>
        <w:gridCol w:w="1372"/>
      </w:tblGrid>
      <w:tr>
        <w:trPr>
          <w:trHeight w:val="345" w:hRule="atLeast"/>
        </w:trPr>
        <w:tc>
          <w:tcPr>
            <w:tcW w:w="14132" w:type="dxa"/>
            <w:gridSpan w:val="1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197" w:hanging="0"/>
              <w:jc w:val="center"/>
              <w:rPr>
                <w:b/>
                <w:b/>
                <w:sz w:val="22"/>
                <w:szCs w:val="22"/>
              </w:rPr>
            </w:pPr>
            <w:r>
              <w:rPr>
                <w:b/>
                <w:sz w:val="22"/>
                <w:szCs w:val="22"/>
              </w:rPr>
              <w:t>GRUPO 05 (Campus Salgueiro/IF SERTÃO – PE – UASG 158568</w:t>
            </w:r>
          </w:p>
          <w:p>
            <w:pPr>
              <w:pStyle w:val="Normal"/>
              <w:widowControl w:val="false"/>
              <w:ind w:left="-105" w:right="-197" w:hanging="0"/>
              <w:jc w:val="center"/>
              <w:rPr>
                <w:b/>
                <w:b/>
                <w:sz w:val="22"/>
                <w:szCs w:val="22"/>
              </w:rPr>
            </w:pPr>
            <w:r>
              <w:rPr>
                <w:b/>
                <w:sz w:val="22"/>
                <w:szCs w:val="22"/>
              </w:rPr>
            </w:r>
          </w:p>
        </w:tc>
      </w:tr>
      <w:tr>
        <w:trPr/>
        <w:tc>
          <w:tcPr>
            <w:tcW w:w="5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006"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3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41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375"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037"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9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74"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27" w:hanging="0"/>
              <w:jc w:val="center"/>
              <w:rPr>
                <w:b/>
                <w:b/>
                <w:sz w:val="18"/>
                <w:szCs w:val="18"/>
              </w:rPr>
            </w:pPr>
            <w:r>
              <w:rPr>
                <w:b/>
                <w:sz w:val="18"/>
                <w:szCs w:val="18"/>
              </w:rPr>
              <w:t xml:space="preserve">Valor Total </w:t>
            </w:r>
          </w:p>
          <w:p>
            <w:pPr>
              <w:pStyle w:val="Normal"/>
              <w:widowControl w:val="false"/>
              <w:ind w:left="-105" w:right="-27" w:hanging="0"/>
              <w:jc w:val="center"/>
              <w:rPr>
                <w:sz w:val="18"/>
                <w:szCs w:val="18"/>
              </w:rPr>
            </w:pPr>
            <w:r>
              <w:rPr>
                <w:b/>
                <w:sz w:val="18"/>
                <w:szCs w:val="18"/>
              </w:rPr>
              <w:t>(R$)</w:t>
            </w:r>
          </w:p>
        </w:tc>
      </w:tr>
      <w:tr>
        <w:trPr>
          <w:trHeight w:val="1343" w:hRule="atLeast"/>
        </w:trPr>
        <w:tc>
          <w:tcPr>
            <w:tcW w:w="5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13</w:t>
            </w:r>
          </w:p>
        </w:tc>
        <w:tc>
          <w:tcPr>
            <w:tcW w:w="500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t xml:space="preserve">Mês </w:t>
            </w:r>
          </w:p>
        </w:tc>
        <w:tc>
          <w:tcPr>
            <w:tcW w:w="113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12</w:t>
            </w:r>
          </w:p>
        </w:tc>
        <w:tc>
          <w:tcPr>
            <w:tcW w:w="14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11.234,58</w:t>
            </w:r>
          </w:p>
        </w:tc>
        <w:tc>
          <w:tcPr>
            <w:tcW w:w="137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134.814,96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3,49%</w:t>
            </w:r>
          </w:p>
          <w:p>
            <w:pPr>
              <w:pStyle w:val="Normal"/>
              <w:widowControl w:val="false"/>
              <w:spacing w:lineRule="auto" w:line="276"/>
              <w:rPr>
                <w:color w:val="000000" w:themeColor="text1"/>
              </w:rPr>
            </w:pPr>
            <w:r>
              <w:rPr>
                <w:color w:val="000000" w:themeColor="text1"/>
              </w:rPr>
            </w:r>
          </w:p>
        </w:tc>
        <w:tc>
          <w:tcPr>
            <w:tcW w:w="13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10.842,49</w:t>
            </w:r>
          </w:p>
        </w:tc>
        <w:tc>
          <w:tcPr>
            <w:tcW w:w="13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130.109,88</w:t>
            </w:r>
          </w:p>
        </w:tc>
      </w:tr>
      <w:tr>
        <w:trPr/>
        <w:tc>
          <w:tcPr>
            <w:tcW w:w="5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t>14</w:t>
            </w:r>
          </w:p>
        </w:tc>
        <w:tc>
          <w:tcPr>
            <w:tcW w:w="500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pPr>
            <w:r>
              <w:rPr/>
            </w:r>
          </w:p>
          <w:p>
            <w:pPr>
              <w:pStyle w:val="Normal"/>
              <w:widowControl w:val="false"/>
              <w:spacing w:lineRule="auto" w:line="276"/>
              <w:rPr/>
            </w:pPr>
            <w:r>
              <w:rPr/>
              <w:t xml:space="preserve">Mês </w:t>
            </w:r>
          </w:p>
        </w:tc>
        <w:tc>
          <w:tcPr>
            <w:tcW w:w="113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12</w:t>
            </w:r>
          </w:p>
        </w:tc>
        <w:tc>
          <w:tcPr>
            <w:tcW w:w="14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4.675,42</w:t>
            </w:r>
          </w:p>
        </w:tc>
        <w:tc>
          <w:tcPr>
            <w:tcW w:w="137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t xml:space="preserve">                               </w:t>
            </w:r>
            <w:r>
              <w:rPr>
                <w:color w:val="000000" w:themeColor="text1"/>
              </w:rPr>
              <w:t xml:space="preserve">56.105,04       </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7,00%</w:t>
            </w:r>
          </w:p>
        </w:tc>
        <w:tc>
          <w:tcPr>
            <w:tcW w:w="139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4.348,14</w:t>
            </w:r>
          </w:p>
          <w:p>
            <w:pPr>
              <w:pStyle w:val="Normal"/>
              <w:widowControl w:val="false"/>
              <w:spacing w:lineRule="auto" w:line="276"/>
              <w:rPr>
                <w:color w:val="000000" w:themeColor="text1"/>
              </w:rPr>
            </w:pPr>
            <w:r>
              <w:rPr>
                <w:color w:val="000000" w:themeColor="text1"/>
              </w:rPr>
            </w:r>
          </w:p>
        </w:tc>
        <w:tc>
          <w:tcPr>
            <w:tcW w:w="13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52.177,68</w:t>
            </w:r>
          </w:p>
        </w:tc>
      </w:tr>
      <w:tr>
        <w:trPr/>
        <w:tc>
          <w:tcPr>
            <w:tcW w:w="5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rPr>
            </w:pPr>
            <w:r>
              <w:rPr>
                <w:b/>
              </w:rPr>
            </w:r>
          </w:p>
        </w:tc>
        <w:tc>
          <w:tcPr>
            <w:tcW w:w="5006"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rPr>
            </w:pPr>
            <w:r>
              <w:rPr>
                <w:b/>
              </w:rPr>
            </w:r>
          </w:p>
        </w:tc>
        <w:tc>
          <w:tcPr>
            <w:tcW w:w="8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rPr>
            </w:pPr>
            <w:r>
              <w:rPr>
                <w:b/>
              </w:rPr>
            </w:r>
          </w:p>
        </w:tc>
        <w:tc>
          <w:tcPr>
            <w:tcW w:w="113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color w:val="000000" w:themeColor="text1"/>
              </w:rPr>
            </w:pPr>
            <w:r>
              <w:rPr>
                <w:b/>
                <w:color w:val="000000" w:themeColor="text1"/>
              </w:rPr>
            </w:r>
          </w:p>
        </w:tc>
        <w:tc>
          <w:tcPr>
            <w:tcW w:w="1416"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color w:val="000000" w:themeColor="text1"/>
              </w:rPr>
            </w:pPr>
            <w:r>
              <w:rPr>
                <w:b/>
                <w:color w:val="000000" w:themeColor="text1"/>
              </w:rPr>
            </w:r>
          </w:p>
        </w:tc>
        <w:tc>
          <w:tcPr>
            <w:tcW w:w="1375"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rPr>
            </w:pPr>
            <w:r>
              <w:rPr>
                <w:b/>
                <w:color w:val="000000" w:themeColor="text1"/>
              </w:rPr>
            </w:r>
          </w:p>
        </w:tc>
        <w:tc>
          <w:tcPr>
            <w:tcW w:w="1037"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39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74"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rPr>
            </w:pPr>
            <w:r>
              <w:rPr>
                <w:b/>
                <w:color w:val="000000" w:themeColor="text1"/>
              </w:rPr>
            </w:r>
          </w:p>
        </w:tc>
      </w:tr>
      <w:tr>
        <w:trPr/>
        <w:tc>
          <w:tcPr>
            <w:tcW w:w="5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15</w:t>
            </w:r>
          </w:p>
        </w:tc>
        <w:tc>
          <w:tcPr>
            <w:tcW w:w="5006"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color w:val="000000" w:themeColor="text1"/>
              </w:rPr>
            </w:pPr>
            <w:r>
              <w:rPr>
                <w:color w:val="000000" w:themeColor="text1"/>
              </w:rPr>
            </w:r>
          </w:p>
          <w:p>
            <w:pPr>
              <w:pStyle w:val="Normal"/>
              <w:widowControl w:val="false"/>
              <w:spacing w:lineRule="auto" w:line="276" w:before="0" w:after="120"/>
              <w:ind w:left="113" w:hanging="0"/>
              <w:jc w:val="center"/>
              <w:rPr>
                <w:color w:val="000000" w:themeColor="text1"/>
              </w:rPr>
            </w:pPr>
            <w:r>
              <w:rPr>
                <w:color w:val="000000" w:themeColor="text1"/>
              </w:rPr>
              <w:t>12</w:t>
            </w:r>
          </w:p>
        </w:tc>
        <w:tc>
          <w:tcPr>
            <w:tcW w:w="141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t>1,59</w:t>
            </w:r>
          </w:p>
        </w:tc>
        <w:tc>
          <w:tcPr>
            <w:tcW w:w="137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color w:val="000000" w:themeColor="text1"/>
              </w:rPr>
              <w:t>19,08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360" w:before="0" w:after="120"/>
              <w:jc w:val="center"/>
              <w:rPr>
                <w:color w:val="000000"/>
              </w:rPr>
            </w:pPr>
            <w:r>
              <w:rPr>
                <w:color w:val="000000" w:themeColor="text1"/>
              </w:rPr>
              <w:t xml:space="preserve">   </w:t>
            </w:r>
            <w:r>
              <w:rPr>
                <w:color w:val="000000" w:themeColor="text1"/>
              </w:rPr>
              <w:t>0,01</w:t>
            </w:r>
            <w:r>
              <w:rPr>
                <w:color w:val="000000" w:themeColor="text1"/>
                <w:sz w:val="18"/>
                <w:szCs w:val="18"/>
              </w:rPr>
              <w:t>%</w:t>
            </w:r>
          </w:p>
        </w:tc>
        <w:tc>
          <w:tcPr>
            <w:tcW w:w="139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tc>
        <w:tc>
          <w:tcPr>
            <w:tcW w:w="1374"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b/>
                <w:b/>
                <w:bCs/>
                <w:color w:val="000000"/>
              </w:rPr>
            </w:pPr>
            <w:r>
              <w:rPr>
                <w:b/>
                <w:bCs/>
                <w:color w:val="000000"/>
              </w:rPr>
            </w:r>
          </w:p>
          <w:p>
            <w:pPr>
              <w:pStyle w:val="Normal"/>
              <w:widowControl w:val="false"/>
              <w:spacing w:lineRule="auto" w:line="276" w:before="0" w:after="120"/>
              <w:ind w:right="-50" w:hanging="0"/>
              <w:jc w:val="center"/>
              <w:rPr>
                <w:color w:val="000000"/>
              </w:rPr>
            </w:pPr>
            <w:r>
              <w:rPr>
                <w:b/>
                <w:bCs/>
                <w:color w:val="000000"/>
                <w:sz w:val="18"/>
                <w:szCs w:val="18"/>
              </w:rPr>
              <w:t>19,07</w:t>
            </w:r>
          </w:p>
          <w:p>
            <w:pPr>
              <w:pStyle w:val="Normal"/>
              <w:widowControl w:val="false"/>
              <w:spacing w:lineRule="auto" w:line="276" w:before="0" w:after="120"/>
              <w:jc w:val="center"/>
              <w:rPr>
                <w:b/>
                <w:b/>
                <w:bCs/>
                <w:color w:val="000000"/>
              </w:rPr>
            </w:pPr>
            <w:r>
              <w:rPr>
                <w:b/>
                <w:bCs/>
                <w:color w:val="000000"/>
              </w:rPr>
            </w:r>
          </w:p>
        </w:tc>
      </w:tr>
      <w:tr>
        <w:trPr/>
        <w:tc>
          <w:tcPr>
            <w:tcW w:w="8956" w:type="dxa"/>
            <w:gridSpan w:val="6"/>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color w:val="000000" w:themeColor="text1"/>
              </w:rPr>
            </w:pPr>
            <w:r>
              <w:rPr>
                <w:b/>
              </w:rPr>
              <w:t>TOTAL (R$) SEM DESCONTO - GRUPO 05</w:t>
            </w:r>
          </w:p>
        </w:tc>
        <w:tc>
          <w:tcPr>
            <w:tcW w:w="1375"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sz w:val="20"/>
                <w:szCs w:val="20"/>
              </w:rPr>
              <w:t>190.939,08</w:t>
            </w:r>
          </w:p>
        </w:tc>
        <w:tc>
          <w:tcPr>
            <w:tcW w:w="2429"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372"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182.306,63</w:t>
            </w:r>
          </w:p>
        </w:tc>
      </w:tr>
      <w:tr>
        <w:trPr/>
        <w:tc>
          <w:tcPr>
            <w:tcW w:w="14132" w:type="dxa"/>
            <w:gridSpan w:val="1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both"/>
              <w:rPr/>
            </w:pPr>
            <w:r>
              <w:rPr>
                <w:b/>
              </w:rPr>
              <w:t>Endereço e contatos para a prestação dos serviços</w:t>
            </w:r>
            <w:r>
              <w:rPr/>
              <w:t xml:space="preserve">: BR 232, Km 508, sentido Recife, Zona Rural, CEP: 56000-000 | Salgueiro/PE. Telefone: (87) 3421-0050. </w:t>
            </w:r>
            <w:r>
              <w:rPr>
                <w:color w:val="000000"/>
              </w:rPr>
              <w:t xml:space="preserve">E-mail: </w:t>
            </w:r>
            <w:hyperlink r:id="rId17">
              <w:r>
                <w:rPr>
                  <w:rStyle w:val="LinkdaInternet"/>
                  <w:color w:val="000000"/>
                  <w:u w:val="single"/>
                </w:rPr>
                <w:t>cs.cpl@ifsertao-pe.edu.br</w:t>
              </w:r>
            </w:hyperlink>
          </w:p>
        </w:tc>
      </w:tr>
    </w:tbl>
    <w:p>
      <w:pPr>
        <w:pStyle w:val="Normal"/>
        <w:widowControl w:val="false"/>
        <w:spacing w:lineRule="auto" w:line="276" w:before="0" w:after="120"/>
        <w:jc w:val="both"/>
        <w:rPr>
          <w:color w:val="000000"/>
          <w:u w:val="single"/>
        </w:rPr>
      </w:pPr>
      <w:r>
        <w:rPr>
          <w:color w:val="000000"/>
          <w:u w:val="single"/>
        </w:rPr>
      </w:r>
    </w:p>
    <w:p>
      <w:pPr>
        <w:pStyle w:val="Normal"/>
        <w:widowControl w:val="false"/>
        <w:spacing w:lineRule="auto" w:line="276" w:before="0" w:after="120"/>
        <w:jc w:val="both"/>
        <w:rPr>
          <w:color w:val="000000"/>
        </w:rPr>
      </w:pPr>
      <w:r>
        <w:rPr/>
        <w:t>* Valor resultante da soma dos Valores Mensal Estimado SEM Desconto multiplicado pelo percentual de 0,01% (taxa de administração).</w:t>
      </w:r>
    </w:p>
    <w:p>
      <w:pPr>
        <w:pStyle w:val="Normal"/>
        <w:jc w:val="both"/>
        <w:rPr/>
      </w:pPr>
      <w:r>
        <w:rPr>
          <w:b/>
        </w:rPr>
        <w:t>Obs. 1:</w:t>
      </w:r>
      <w:r>
        <w:rPr/>
        <w:t xml:space="preserve"> Quanto aos itens 13 e 14, o VALOR TOTAL deverá ser o resultado da multiplicação do valor mensal com desconto por 12 meses; já quanto ao item 15,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ind w:right="-197" w:hanging="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ind w:left="-245" w:right="-197" w:hanging="0"/>
        <w:jc w:val="center"/>
        <w:rPr>
          <w:rFonts w:ascii="Times New Roman" w:hAnsi="Times New Roman" w:eastAsia="Times New Roman" w:cs="Times New Roman"/>
          <w:b/>
          <w:b/>
        </w:rPr>
      </w:pPr>
      <w:r>
        <w:rPr>
          <w:rFonts w:eastAsia="Times New Roman" w:cs="Times New Roman" w:ascii="Times New Roman" w:hAnsi="Times New Roman"/>
          <w:b/>
        </w:rPr>
      </w:r>
    </w:p>
    <w:tbl>
      <w:tblPr>
        <w:tblW w:w="14275" w:type="dxa"/>
        <w:jc w:val="center"/>
        <w:tblInd w:w="0" w:type="dxa"/>
        <w:tblCellMar>
          <w:top w:w="0" w:type="dxa"/>
          <w:left w:w="98" w:type="dxa"/>
          <w:bottom w:w="0" w:type="dxa"/>
          <w:right w:w="108" w:type="dxa"/>
        </w:tblCellMar>
        <w:tblLook w:firstRow="0" w:noVBand="1" w:lastRow="0" w:firstColumn="0" w:lastColumn="0" w:noHBand="0" w:val="0400"/>
      </w:tblPr>
      <w:tblGrid>
        <w:gridCol w:w="555"/>
        <w:gridCol w:w="5243"/>
        <w:gridCol w:w="851"/>
        <w:gridCol w:w="1099"/>
        <w:gridCol w:w="1346"/>
        <w:gridCol w:w="3"/>
        <w:gridCol w:w="1369"/>
        <w:gridCol w:w="1"/>
        <w:gridCol w:w="1179"/>
        <w:gridCol w:w="1318"/>
        <w:gridCol w:w="1"/>
        <w:gridCol w:w="1308"/>
      </w:tblGrid>
      <w:tr>
        <w:trPr/>
        <w:tc>
          <w:tcPr>
            <w:tcW w:w="14273" w:type="dxa"/>
            <w:gridSpan w:val="1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197" w:hanging="0"/>
              <w:jc w:val="center"/>
              <w:rPr>
                <w:b/>
                <w:b/>
                <w:sz w:val="22"/>
                <w:szCs w:val="22"/>
              </w:rPr>
            </w:pPr>
            <w:r>
              <w:rPr>
                <w:b/>
                <w:sz w:val="22"/>
                <w:szCs w:val="22"/>
              </w:rPr>
              <w:t>GRUPO 06 (Campus Ouricuri/IF SERTÃO – PE – UASG 158570)</w:t>
            </w:r>
          </w:p>
          <w:p>
            <w:pPr>
              <w:pStyle w:val="Normal"/>
              <w:widowControl w:val="false"/>
              <w:ind w:left="-105" w:right="-197" w:hanging="0"/>
              <w:jc w:val="center"/>
              <w:rPr>
                <w:b/>
                <w:b/>
                <w:sz w:val="18"/>
                <w:szCs w:val="18"/>
              </w:rPr>
            </w:pPr>
            <w:r>
              <w:rPr>
                <w:b/>
                <w:sz w:val="18"/>
                <w:szCs w:val="18"/>
              </w:rPr>
            </w:r>
          </w:p>
        </w:tc>
      </w:tr>
      <w:tr>
        <w:trPr/>
        <w:tc>
          <w:tcPr>
            <w:tcW w:w="55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243"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09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346"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372"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180"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 xml:space="preserve">Mínimo de Desconto </w:t>
            </w:r>
          </w:p>
          <w:p>
            <w:pPr>
              <w:pStyle w:val="Normal"/>
              <w:widowControl w:val="false"/>
              <w:ind w:left="-104" w:right="-81" w:hanging="0"/>
              <w:jc w:val="center"/>
              <w:rPr>
                <w:sz w:val="18"/>
                <w:szCs w:val="18"/>
              </w:rPr>
            </w:pPr>
            <w:r>
              <w:rPr>
                <w:b/>
                <w:sz w:val="18"/>
                <w:szCs w:val="18"/>
              </w:rPr>
              <w:t>(%)</w:t>
            </w:r>
          </w:p>
        </w:tc>
        <w:tc>
          <w:tcPr>
            <w:tcW w:w="131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COM  </w:t>
            </w:r>
          </w:p>
          <w:p>
            <w:pPr>
              <w:pStyle w:val="Normal"/>
              <w:widowControl w:val="false"/>
              <w:ind w:left="-114" w:right="-105" w:hanging="30"/>
              <w:jc w:val="center"/>
              <w:rPr>
                <w:sz w:val="18"/>
                <w:szCs w:val="18"/>
              </w:rPr>
            </w:pPr>
            <w:r>
              <w:rPr>
                <w:b/>
                <w:sz w:val="18"/>
                <w:szCs w:val="18"/>
              </w:rPr>
              <w:t>Desconto(R$)</w:t>
            </w:r>
          </w:p>
        </w:tc>
        <w:tc>
          <w:tcPr>
            <w:tcW w:w="130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27" w:hanging="0"/>
              <w:jc w:val="center"/>
              <w:rPr>
                <w:sz w:val="18"/>
                <w:szCs w:val="18"/>
              </w:rPr>
            </w:pPr>
            <w:r>
              <w:rPr>
                <w:b/>
                <w:sz w:val="18"/>
                <w:szCs w:val="18"/>
              </w:rPr>
              <w:t>Valor Total(R$)</w:t>
            </w:r>
          </w:p>
        </w:tc>
      </w:tr>
      <w:tr>
        <w:trPr>
          <w:trHeight w:val="1343" w:hRule="atLeast"/>
        </w:trPr>
        <w:tc>
          <w:tcPr>
            <w:tcW w:w="5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16</w:t>
            </w:r>
          </w:p>
        </w:tc>
        <w:tc>
          <w:tcPr>
            <w:tcW w:w="524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color w:val="000000"/>
              </w:rPr>
            </w:r>
          </w:p>
          <w:p>
            <w:pPr>
              <w:pStyle w:val="Normal"/>
              <w:widowControl w:val="false"/>
              <w:spacing w:lineRule="auto" w:line="276" w:before="0" w:after="120"/>
              <w:rPr/>
            </w:pPr>
            <w:r>
              <w:rPr>
                <w:color w:val="000000"/>
              </w:rPr>
              <w:t>12</w:t>
            </w:r>
          </w:p>
        </w:tc>
        <w:tc>
          <w:tcPr>
            <w:tcW w:w="13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6.685,79</w:t>
            </w:r>
          </w:p>
        </w:tc>
        <w:tc>
          <w:tcPr>
            <w:tcW w:w="1372"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80.229,48</w:t>
            </w:r>
          </w:p>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r>
          </w:p>
        </w:tc>
        <w:tc>
          <w:tcPr>
            <w:tcW w:w="118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6.452,45</w:t>
            </w:r>
          </w:p>
        </w:tc>
        <w:tc>
          <w:tcPr>
            <w:tcW w:w="130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77.429,40</w:t>
            </w:r>
          </w:p>
        </w:tc>
      </w:tr>
      <w:tr>
        <w:trPr/>
        <w:tc>
          <w:tcPr>
            <w:tcW w:w="5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17</w:t>
            </w:r>
          </w:p>
        </w:tc>
        <w:tc>
          <w:tcPr>
            <w:tcW w:w="524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rPr>
            </w:pPr>
            <w:r>
              <w:rPr>
                <w:color w:val="000000"/>
              </w:rPr>
            </w:r>
          </w:p>
          <w:p>
            <w:pPr>
              <w:pStyle w:val="Normal"/>
              <w:widowControl w:val="false"/>
              <w:spacing w:lineRule="auto" w:line="276" w:before="0" w:after="120"/>
              <w:ind w:left="113" w:hanging="0"/>
              <w:rPr/>
            </w:pPr>
            <w:r>
              <w:rPr>
                <w:color w:val="000000"/>
              </w:rPr>
              <w:t>12</w:t>
            </w:r>
          </w:p>
        </w:tc>
        <w:tc>
          <w:tcPr>
            <w:tcW w:w="13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4.466,67</w:t>
            </w:r>
          </w:p>
        </w:tc>
        <w:tc>
          <w:tcPr>
            <w:tcW w:w="1372"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53.600,04</w:t>
            </w:r>
          </w:p>
        </w:tc>
        <w:tc>
          <w:tcPr>
            <w:tcW w:w="118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31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4.154,00</w:t>
            </w:r>
          </w:p>
        </w:tc>
        <w:tc>
          <w:tcPr>
            <w:tcW w:w="130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49.848,00</w:t>
            </w:r>
          </w:p>
        </w:tc>
      </w:tr>
      <w:tr>
        <w:trPr/>
        <w:tc>
          <w:tcPr>
            <w:tcW w:w="55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rPr>
            </w:pPr>
            <w:r>
              <w:rPr>
                <w:b/>
              </w:rPr>
            </w:r>
          </w:p>
        </w:tc>
        <w:tc>
          <w:tcPr>
            <w:tcW w:w="5243"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rPr>
            </w:pPr>
            <w:r>
              <w:rPr>
                <w:b/>
              </w:rPr>
            </w:r>
          </w:p>
        </w:tc>
        <w:tc>
          <w:tcPr>
            <w:tcW w:w="8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rPr>
            </w:pPr>
            <w:r>
              <w:rPr>
                <w:b/>
              </w:rPr>
            </w:r>
          </w:p>
        </w:tc>
        <w:tc>
          <w:tcPr>
            <w:tcW w:w="109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346"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rPr>
            </w:pPr>
            <w:r>
              <w:rPr>
                <w:b/>
              </w:rPr>
            </w:r>
          </w:p>
        </w:tc>
        <w:tc>
          <w:tcPr>
            <w:tcW w:w="1372"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rPr>
            </w:pPr>
            <w:r>
              <w:rPr>
                <w:b/>
              </w:rPr>
            </w:r>
          </w:p>
        </w:tc>
        <w:tc>
          <w:tcPr>
            <w:tcW w:w="1180"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rPr>
            </w:pPr>
            <w:r>
              <w:rPr>
                <w:b/>
              </w:rPr>
              <w:t xml:space="preserve">Mínimo de Desconto (%) </w:t>
            </w:r>
          </w:p>
        </w:tc>
        <w:tc>
          <w:tcPr>
            <w:tcW w:w="131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rPr>
            </w:pPr>
            <w:r>
              <w:rPr>
                <w:b/>
              </w:rPr>
            </w:r>
          </w:p>
        </w:tc>
        <w:tc>
          <w:tcPr>
            <w:tcW w:w="130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rPr>
            </w:pPr>
            <w:r>
              <w:rPr>
                <w:b/>
              </w:rPr>
            </w:r>
          </w:p>
        </w:tc>
      </w:tr>
      <w:tr>
        <w:trPr/>
        <w:tc>
          <w:tcPr>
            <w:tcW w:w="5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18</w:t>
            </w:r>
          </w:p>
        </w:tc>
        <w:tc>
          <w:tcPr>
            <w:tcW w:w="524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pPr>
            <w:r>
              <w:rPr/>
            </w:r>
          </w:p>
          <w:p>
            <w:pPr>
              <w:pStyle w:val="Normal"/>
              <w:widowControl w:val="false"/>
              <w:spacing w:lineRule="auto" w:line="276" w:before="0" w:after="120"/>
              <w:ind w:left="113" w:hanging="0"/>
              <w:jc w:val="center"/>
              <w:rPr/>
            </w:pPr>
            <w:r>
              <w:rPr>
                <w:color w:val="000000"/>
              </w:rPr>
              <w:t>12</w:t>
            </w:r>
          </w:p>
        </w:tc>
        <w:tc>
          <w:tcPr>
            <w:tcW w:w="13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pPr>
            <w:r>
              <w:rPr/>
            </w:r>
          </w:p>
          <w:p>
            <w:pPr>
              <w:pStyle w:val="Normal"/>
              <w:ind w:left="-15" w:right="-50" w:hanging="0"/>
              <w:jc w:val="center"/>
              <w:rPr/>
            </w:pPr>
            <w:r>
              <w:rPr/>
            </w:r>
          </w:p>
          <w:p>
            <w:pPr>
              <w:pStyle w:val="Normal"/>
              <w:ind w:left="-15" w:right="-50" w:hanging="0"/>
              <w:jc w:val="center"/>
              <w:rPr/>
            </w:pPr>
            <w:r>
              <w:rPr/>
              <w:t>*1,11</w:t>
            </w:r>
          </w:p>
        </w:tc>
        <w:tc>
          <w:tcPr>
            <w:tcW w:w="1372"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color w:val="000000"/>
              </w:rPr>
              <w:t>13,32</w:t>
            </w:r>
          </w:p>
        </w:tc>
        <w:tc>
          <w:tcPr>
            <w:tcW w:w="1180"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color w:val="000000"/>
              </w:rPr>
            </w:r>
          </w:p>
          <w:p>
            <w:pPr>
              <w:pStyle w:val="Normal"/>
              <w:widowControl w:val="false"/>
              <w:spacing w:lineRule="auto" w:line="360" w:before="0" w:after="120"/>
              <w:jc w:val="center"/>
              <w:rPr>
                <w:color w:val="000000"/>
              </w:rPr>
            </w:pPr>
            <w:r>
              <w:rPr>
                <w:color w:val="000000"/>
              </w:rPr>
              <w:t xml:space="preserve">   </w:t>
            </w:r>
            <w:r>
              <w:rPr>
                <w:color w:val="000000"/>
              </w:rPr>
              <w:t>0,01%</w:t>
            </w:r>
          </w:p>
        </w:tc>
        <w:tc>
          <w:tcPr>
            <w:tcW w:w="131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rPr>
            </w:pPr>
            <w:r>
              <w:rPr>
                <w:color w:val="000000"/>
              </w:rPr>
            </w:r>
          </w:p>
        </w:tc>
        <w:tc>
          <w:tcPr>
            <w:tcW w:w="13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b/>
                <w:b/>
                <w:bCs/>
                <w:color w:val="000000"/>
              </w:rPr>
            </w:pPr>
            <w:r>
              <w:rPr>
                <w:b/>
                <w:bCs/>
                <w:color w:val="000000"/>
              </w:rPr>
            </w:r>
          </w:p>
          <w:p>
            <w:pPr>
              <w:pStyle w:val="Normal"/>
              <w:widowControl w:val="false"/>
              <w:spacing w:lineRule="auto" w:line="276" w:before="0" w:after="120"/>
              <w:jc w:val="center"/>
              <w:rPr>
                <w:color w:val="000000"/>
              </w:rPr>
            </w:pPr>
            <w:r>
              <w:rPr>
                <w:b/>
                <w:bCs/>
                <w:color w:val="000000"/>
              </w:rPr>
              <w:t>13,31</w:t>
            </w:r>
          </w:p>
          <w:p>
            <w:pPr>
              <w:pStyle w:val="Normal"/>
              <w:widowControl w:val="false"/>
              <w:spacing w:lineRule="auto" w:line="276" w:before="0" w:after="120"/>
              <w:ind w:left="-15" w:right="-50" w:hanging="0"/>
              <w:jc w:val="center"/>
              <w:rPr>
                <w:color w:val="000000"/>
              </w:rPr>
            </w:pPr>
            <w:r>
              <w:rPr>
                <w:b/>
                <w:bCs/>
                <w:color w:val="000000"/>
              </w:rPr>
              <w:t xml:space="preserve"> </w:t>
            </w:r>
          </w:p>
          <w:p>
            <w:pPr>
              <w:pStyle w:val="Normal"/>
              <w:widowControl w:val="false"/>
              <w:spacing w:lineRule="auto" w:line="276" w:before="0" w:after="120"/>
              <w:jc w:val="center"/>
              <w:rPr>
                <w:b/>
                <w:b/>
                <w:bCs/>
                <w:color w:val="000000"/>
              </w:rPr>
            </w:pPr>
            <w:r>
              <w:rPr>
                <w:b/>
                <w:bCs/>
                <w:color w:val="000000"/>
              </w:rPr>
            </w:r>
          </w:p>
        </w:tc>
      </w:tr>
      <w:tr>
        <w:trPr/>
        <w:tc>
          <w:tcPr>
            <w:tcW w:w="9097" w:type="dxa"/>
            <w:gridSpan w:val="6"/>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pPr>
            <w:r>
              <w:rPr>
                <w:b/>
              </w:rPr>
              <w:t>TOTAL (R$) SEM DESCONTO - GRUPO 06</w:t>
            </w:r>
          </w:p>
        </w:tc>
        <w:tc>
          <w:tcPr>
            <w:tcW w:w="1370"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ind w:left="113" w:hanging="0"/>
              <w:jc w:val="center"/>
              <w:rPr>
                <w:color w:val="000000"/>
              </w:rPr>
            </w:pPr>
            <w:r>
              <w:rPr>
                <w:b/>
                <w:bCs/>
                <w:color w:val="000000"/>
              </w:rPr>
              <w:t>133.842,84</w:t>
            </w:r>
          </w:p>
        </w:tc>
        <w:tc>
          <w:tcPr>
            <w:tcW w:w="2498"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308"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127.290,71</w:t>
            </w:r>
          </w:p>
        </w:tc>
      </w:tr>
      <w:tr>
        <w:trPr/>
        <w:tc>
          <w:tcPr>
            <w:tcW w:w="12965" w:type="dxa"/>
            <w:gridSpan w:val="11"/>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right"/>
              <w:rPr>
                <w:color w:val="000000"/>
              </w:rPr>
            </w:pPr>
            <w:r>
              <w:rPr>
                <w:b/>
                <w:bCs/>
                <w:color w:val="000000"/>
              </w:rPr>
              <w:t>TOTAL R$</w:t>
            </w:r>
          </w:p>
        </w:tc>
        <w:tc>
          <w:tcPr>
            <w:tcW w:w="1308"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b/>
                <w:b/>
                <w:bCs/>
                <w:color w:val="000000"/>
              </w:rPr>
            </w:pPr>
            <w:r>
              <w:rPr>
                <w:b/>
                <w:bCs/>
                <w:color w:val="000000"/>
              </w:rPr>
            </w:r>
          </w:p>
        </w:tc>
      </w:tr>
      <w:tr>
        <w:trPr/>
        <w:tc>
          <w:tcPr>
            <w:tcW w:w="14273" w:type="dxa"/>
            <w:gridSpan w:val="12"/>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76" w:before="120" w:after="120"/>
              <w:jc w:val="both"/>
              <w:rPr/>
            </w:pPr>
            <w:r>
              <w:rPr>
                <w:b/>
              </w:rPr>
              <w:t>Endereço e contatos para a prestação dos serviços</w:t>
            </w:r>
            <w:r>
              <w:rPr/>
              <w:t xml:space="preserve">: Estrada do Tamboril, S/N, CEP 56200-000, Ouricuri/PE. Telefones: (87) 98122-2215/98122-3778 – </w:t>
            </w:r>
            <w:r>
              <w:rPr>
                <w:b/>
                <w:color w:val="000000"/>
              </w:rPr>
              <w:t xml:space="preserve">E-mail: </w:t>
            </w:r>
            <w:hyperlink r:id="rId18">
              <w:r>
                <w:rPr>
                  <w:rStyle w:val="LinkdaInternet"/>
                  <w:b/>
                  <w:color w:val="0000FF"/>
                  <w:u w:val="single"/>
                </w:rPr>
                <w:t>co.licitacao@ifsertao-pe.edu.br</w:t>
              </w:r>
            </w:hyperlink>
          </w:p>
        </w:tc>
      </w:tr>
    </w:tbl>
    <w:p>
      <w:pPr>
        <w:pStyle w:val="Normal"/>
        <w:widowControl w:val="false"/>
        <w:spacing w:lineRule="auto" w:line="276"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76" w:before="0" w:after="120"/>
        <w:jc w:val="both"/>
        <w:rPr/>
      </w:pPr>
      <w:r>
        <w:rPr/>
        <w:t>* Valor resultante da soma dos Valores Mensal Estimado SEM Desconto multiplicado pelo percentual de 0,01% (taxa de administração).</w:t>
      </w:r>
    </w:p>
    <w:p>
      <w:pPr>
        <w:pStyle w:val="Normal"/>
        <w:jc w:val="both"/>
        <w:rPr/>
      </w:pPr>
      <w:r>
        <w:rPr>
          <w:b/>
        </w:rPr>
        <w:t>Obs. 1:</w:t>
      </w:r>
      <w:r>
        <w:rPr/>
        <w:t xml:space="preserve"> Quanto aos itens 16 e 17, o VALOR TOTAL deverá ser o resultado da multiplicação do valor mensal com desconto por 12 meses; já quanto ao item 18,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rPr/>
      </w:pPr>
      <w:r>
        <w:rPr/>
      </w:r>
    </w:p>
    <w:p>
      <w:pPr>
        <w:pStyle w:val="Normal"/>
        <w:widowControl w:val="false"/>
        <w:spacing w:lineRule="auto" w:line="276" w:before="0" w:after="120"/>
        <w:jc w:val="both"/>
        <w:rPr>
          <w:rFonts w:ascii="Times New Roman" w:hAnsi="Times New Roman" w:eastAsia="Times New Roman" w:cs="Times New Roman"/>
        </w:rPr>
      </w:pPr>
      <w:r>
        <w:rPr>
          <w:rFonts w:eastAsia="Times New Roman" w:cs="Times New Roman" w:ascii="Times New Roman" w:hAnsi="Times New Roman"/>
        </w:rPr>
      </w:r>
    </w:p>
    <w:tbl>
      <w:tblPr>
        <w:tblW w:w="14134" w:type="dxa"/>
        <w:jc w:val="center"/>
        <w:tblInd w:w="0" w:type="dxa"/>
        <w:tblCellMar>
          <w:top w:w="0" w:type="dxa"/>
          <w:left w:w="98" w:type="dxa"/>
          <w:bottom w:w="0" w:type="dxa"/>
          <w:right w:w="108" w:type="dxa"/>
        </w:tblCellMar>
        <w:tblLook w:firstRow="0" w:noVBand="1" w:lastRow="0" w:firstColumn="0" w:lastColumn="0" w:noHBand="0" w:val="0400"/>
      </w:tblPr>
      <w:tblGrid>
        <w:gridCol w:w="555"/>
        <w:gridCol w:w="5002"/>
        <w:gridCol w:w="849"/>
        <w:gridCol w:w="1134"/>
        <w:gridCol w:w="1276"/>
        <w:gridCol w:w="3"/>
        <w:gridCol w:w="1522"/>
        <w:gridCol w:w="1038"/>
        <w:gridCol w:w="1384"/>
        <w:gridCol w:w="1369"/>
      </w:tblGrid>
      <w:tr>
        <w:trPr/>
        <w:tc>
          <w:tcPr>
            <w:tcW w:w="14132" w:type="dxa"/>
            <w:gridSpan w:val="10"/>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245" w:right="-197" w:hanging="0"/>
              <w:jc w:val="center"/>
              <w:rPr>
                <w:b/>
                <w:b/>
                <w:sz w:val="22"/>
                <w:szCs w:val="22"/>
              </w:rPr>
            </w:pPr>
            <w:r>
              <w:rPr>
                <w:b/>
                <w:sz w:val="22"/>
                <w:szCs w:val="22"/>
              </w:rPr>
              <w:t xml:space="preserve">GRUPO 07 (Campus Santa Maria/IF SERTÃO – PE – UASG 158740) </w:t>
            </w:r>
          </w:p>
          <w:p>
            <w:pPr>
              <w:pStyle w:val="Normal"/>
              <w:widowControl w:val="false"/>
              <w:ind w:left="-105" w:right="-197" w:hanging="0"/>
              <w:jc w:val="center"/>
              <w:rPr>
                <w:b/>
                <w:b/>
                <w:sz w:val="18"/>
                <w:szCs w:val="18"/>
              </w:rPr>
            </w:pPr>
            <w:r>
              <w:rPr>
                <w:b/>
                <w:sz w:val="18"/>
                <w:szCs w:val="18"/>
              </w:rPr>
            </w:r>
          </w:p>
        </w:tc>
      </w:tr>
      <w:tr>
        <w:trPr/>
        <w:tc>
          <w:tcPr>
            <w:tcW w:w="55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002"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4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3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27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(R$)</w:t>
            </w:r>
          </w:p>
        </w:tc>
        <w:tc>
          <w:tcPr>
            <w:tcW w:w="152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03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8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6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5" w:right="-27" w:hanging="0"/>
              <w:jc w:val="center"/>
              <w:rPr>
                <w:sz w:val="18"/>
                <w:szCs w:val="18"/>
              </w:rPr>
            </w:pPr>
            <w:r>
              <w:rPr>
                <w:b/>
                <w:sz w:val="18"/>
                <w:szCs w:val="18"/>
              </w:rPr>
              <w:t>Valor Total (R$)</w:t>
            </w:r>
          </w:p>
        </w:tc>
      </w:tr>
      <w:tr>
        <w:trPr>
          <w:trHeight w:val="1343" w:hRule="atLeast"/>
        </w:trPr>
        <w:tc>
          <w:tcPr>
            <w:tcW w:w="5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19</w:t>
            </w:r>
          </w:p>
        </w:tc>
        <w:tc>
          <w:tcPr>
            <w:tcW w:w="500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w:t>
            </w:r>
          </w:p>
        </w:tc>
        <w:tc>
          <w:tcPr>
            <w:tcW w:w="127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5.745,05</w:t>
            </w:r>
          </w:p>
        </w:tc>
        <w:tc>
          <w:tcPr>
            <w:tcW w:w="15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68.940,60</w:t>
            </w:r>
          </w:p>
        </w:tc>
        <w:tc>
          <w:tcPr>
            <w:tcW w:w="103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8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5.544,55</w:t>
            </w:r>
          </w:p>
        </w:tc>
        <w:tc>
          <w:tcPr>
            <w:tcW w:w="136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66.534,60</w:t>
            </w:r>
          </w:p>
        </w:tc>
      </w:tr>
      <w:tr>
        <w:trPr/>
        <w:tc>
          <w:tcPr>
            <w:tcW w:w="5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t>20</w:t>
            </w:r>
          </w:p>
        </w:tc>
        <w:tc>
          <w:tcPr>
            <w:tcW w:w="500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27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1.852,17</w:t>
            </w:r>
          </w:p>
        </w:tc>
        <w:tc>
          <w:tcPr>
            <w:tcW w:w="15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rPr>
            </w:pPr>
            <w:r>
              <w:rPr>
                <w:b/>
                <w:bCs/>
                <w:color w:val="000000"/>
              </w:rPr>
              <w:t>22.226,04</w:t>
            </w:r>
          </w:p>
        </w:tc>
        <w:tc>
          <w:tcPr>
            <w:tcW w:w="103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rPr>
            </w:pPr>
            <w:r>
              <w:rPr>
                <w:color w:val="000000" w:themeColor="text1"/>
              </w:rPr>
              <w:t>7,00%</w:t>
            </w:r>
          </w:p>
        </w:tc>
        <w:tc>
          <w:tcPr>
            <w:tcW w:w="138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
                <w:b/>
                <w:bCs/>
                <w:color w:val="000000"/>
              </w:rPr>
            </w:pPr>
            <w:r>
              <w:rPr>
                <w:b/>
                <w:bCs/>
                <w:color w:val="000000"/>
              </w:rPr>
            </w:r>
          </w:p>
          <w:p>
            <w:pPr>
              <w:pStyle w:val="Normal"/>
              <w:widowControl w:val="false"/>
              <w:spacing w:lineRule="auto" w:line="276" w:before="0" w:after="120"/>
              <w:rPr>
                <w:color w:val="000000"/>
              </w:rPr>
            </w:pPr>
            <w:r>
              <w:rPr>
                <w:b/>
                <w:bCs/>
                <w:color w:val="000000"/>
              </w:rPr>
              <w:t>1.722,51</w:t>
            </w:r>
          </w:p>
        </w:tc>
        <w:tc>
          <w:tcPr>
            <w:tcW w:w="136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
                <w:b/>
                <w:bCs/>
                <w:color w:val="000000"/>
              </w:rPr>
            </w:pPr>
            <w:r>
              <w:rPr>
                <w:b/>
                <w:bCs/>
                <w:color w:val="000000"/>
              </w:rPr>
            </w:r>
          </w:p>
          <w:p>
            <w:pPr>
              <w:pStyle w:val="Normal"/>
              <w:widowControl w:val="false"/>
              <w:spacing w:lineRule="auto" w:line="276" w:before="0" w:after="120"/>
              <w:rPr>
                <w:color w:val="000000"/>
              </w:rPr>
            </w:pPr>
            <w:r>
              <w:rPr>
                <w:b/>
                <w:bCs/>
                <w:color w:val="000000"/>
              </w:rPr>
              <w:t>20.670,22</w:t>
            </w:r>
          </w:p>
        </w:tc>
      </w:tr>
      <w:tr>
        <w:trPr/>
        <w:tc>
          <w:tcPr>
            <w:tcW w:w="55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b/>
                <w:b/>
              </w:rPr>
            </w:pPr>
            <w:r>
              <w:rPr>
                <w:b/>
              </w:rPr>
            </w:r>
          </w:p>
        </w:tc>
        <w:tc>
          <w:tcPr>
            <w:tcW w:w="5002"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sz w:val="18"/>
                <w:szCs w:val="18"/>
              </w:rPr>
            </w:pPr>
            <w:r>
              <w:rPr>
                <w:b/>
                <w:sz w:val="18"/>
                <w:szCs w:val="18"/>
              </w:rPr>
            </w:r>
          </w:p>
        </w:tc>
        <w:tc>
          <w:tcPr>
            <w:tcW w:w="84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b/>
                <w:b/>
                <w:color w:val="000000" w:themeColor="text1"/>
                <w:sz w:val="18"/>
                <w:szCs w:val="18"/>
              </w:rPr>
            </w:pPr>
            <w:r>
              <w:rPr>
                <w:b/>
                <w:color w:val="000000" w:themeColor="text1"/>
                <w:sz w:val="18"/>
                <w:szCs w:val="18"/>
              </w:rPr>
            </w:r>
          </w:p>
        </w:tc>
        <w:tc>
          <w:tcPr>
            <w:tcW w:w="1279"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b/>
                <w:b/>
                <w:color w:val="000000" w:themeColor="text1"/>
                <w:sz w:val="18"/>
                <w:szCs w:val="18"/>
              </w:rPr>
            </w:pPr>
            <w:r>
              <w:rPr>
                <w:b/>
                <w:color w:val="000000" w:themeColor="text1"/>
                <w:sz w:val="18"/>
                <w:szCs w:val="18"/>
              </w:rPr>
            </w:r>
          </w:p>
        </w:tc>
        <w:tc>
          <w:tcPr>
            <w:tcW w:w="152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038"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color w:val="000000"/>
              </w:rPr>
            </w:pPr>
            <w:r>
              <w:rPr>
                <w:b/>
                <w:color w:val="000000" w:themeColor="text1"/>
                <w:sz w:val="18"/>
                <w:szCs w:val="18"/>
              </w:rPr>
              <w:t xml:space="preserve">Mínimo de Desconto (%) </w:t>
            </w:r>
          </w:p>
        </w:tc>
        <w:tc>
          <w:tcPr>
            <w:tcW w:w="1384"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6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rPr>
            </w:pPr>
            <w:r>
              <w:rPr>
                <w:b/>
                <w:color w:val="000000" w:themeColor="text1"/>
              </w:rPr>
            </w:r>
          </w:p>
        </w:tc>
      </w:tr>
      <w:tr>
        <w:trPr/>
        <w:tc>
          <w:tcPr>
            <w:tcW w:w="5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21</w:t>
            </w:r>
          </w:p>
        </w:tc>
        <w:tc>
          <w:tcPr>
            <w:tcW w:w="500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color w:val="000000" w:themeColor="text1"/>
              </w:rPr>
            </w:pPr>
            <w:r>
              <w:rPr>
                <w:color w:val="000000" w:themeColor="text1"/>
              </w:rPr>
            </w:r>
          </w:p>
          <w:p>
            <w:pPr>
              <w:pStyle w:val="Normal"/>
              <w:widowControl w:val="false"/>
              <w:spacing w:lineRule="auto" w:line="276" w:before="0" w:after="120"/>
              <w:ind w:left="113" w:hanging="0"/>
              <w:jc w:val="center"/>
              <w:rPr>
                <w:color w:val="000000" w:themeColor="text1"/>
              </w:rPr>
            </w:pPr>
            <w:r>
              <w:rPr>
                <w:color w:val="000000" w:themeColor="text1"/>
              </w:rPr>
              <w:t>12</w:t>
            </w:r>
          </w:p>
        </w:tc>
        <w:tc>
          <w:tcPr>
            <w:tcW w:w="127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t>*0,76</w:t>
            </w:r>
          </w:p>
        </w:tc>
        <w:tc>
          <w:tcPr>
            <w:tcW w:w="15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right="-50" w:hanging="0"/>
              <w:jc w:val="center"/>
              <w:rPr>
                <w:color w:val="000000"/>
              </w:rPr>
            </w:pPr>
            <w:r>
              <w:rPr>
                <w:color w:val="000000" w:themeColor="text1"/>
              </w:rPr>
              <w:t>9,12</w:t>
            </w:r>
          </w:p>
        </w:tc>
        <w:tc>
          <w:tcPr>
            <w:tcW w:w="10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360" w:before="0" w:after="120"/>
              <w:jc w:val="center"/>
              <w:rPr>
                <w:color w:val="000000"/>
              </w:rPr>
            </w:pPr>
            <w:r>
              <w:rPr>
                <w:color w:val="000000" w:themeColor="text1"/>
              </w:rPr>
              <w:t xml:space="preserve">   </w:t>
            </w:r>
            <w:r>
              <w:rPr>
                <w:color w:val="000000" w:themeColor="text1"/>
              </w:rPr>
              <w:t>0,01</w:t>
            </w:r>
            <w:r>
              <w:rPr>
                <w:color w:val="000000" w:themeColor="text1"/>
                <w:sz w:val="18"/>
                <w:szCs w:val="18"/>
              </w:rPr>
              <w:t>%</w:t>
            </w:r>
          </w:p>
        </w:tc>
        <w:tc>
          <w:tcPr>
            <w:tcW w:w="138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tc>
        <w:tc>
          <w:tcPr>
            <w:tcW w:w="136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b/>
                <w:b/>
                <w:bCs/>
                <w:color w:val="000000"/>
              </w:rPr>
            </w:pPr>
            <w:r>
              <w:rPr>
                <w:b/>
                <w:bCs/>
                <w:color w:val="000000"/>
              </w:rPr>
            </w:r>
          </w:p>
          <w:p>
            <w:pPr>
              <w:pStyle w:val="Normal"/>
              <w:widowControl w:val="false"/>
              <w:spacing w:lineRule="auto" w:line="276" w:before="0" w:after="120"/>
              <w:ind w:right="-50" w:hanging="0"/>
              <w:jc w:val="center"/>
              <w:rPr>
                <w:color w:val="000000"/>
              </w:rPr>
            </w:pPr>
            <w:r>
              <w:rPr>
                <w:b/>
                <w:bCs/>
                <w:color w:val="000000"/>
              </w:rPr>
              <w:t>9,11</w:t>
            </w:r>
          </w:p>
          <w:p>
            <w:pPr>
              <w:pStyle w:val="Normal"/>
              <w:widowControl w:val="false"/>
              <w:spacing w:lineRule="auto" w:line="276" w:before="0" w:after="120"/>
              <w:jc w:val="center"/>
              <w:rPr>
                <w:b/>
                <w:b/>
                <w:bCs/>
                <w:color w:val="000000"/>
              </w:rPr>
            </w:pPr>
            <w:r>
              <w:rPr>
                <w:b/>
                <w:bCs/>
                <w:color w:val="000000"/>
              </w:rPr>
            </w:r>
          </w:p>
        </w:tc>
      </w:tr>
      <w:tr>
        <w:trPr/>
        <w:tc>
          <w:tcPr>
            <w:tcW w:w="8816"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color w:val="000000" w:themeColor="text1"/>
              </w:rPr>
            </w:pPr>
            <w:r>
              <w:rPr>
                <w:b/>
              </w:rPr>
              <w:t>TOTAL (R$) SEM DESCONTO - GRUPO 07</w:t>
            </w:r>
          </w:p>
        </w:tc>
        <w:tc>
          <w:tcPr>
            <w:tcW w:w="1525"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rPr>
              <w:t>91.175,76</w:t>
            </w:r>
          </w:p>
        </w:tc>
        <w:tc>
          <w:tcPr>
            <w:tcW w:w="2422"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369"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rPr>
              <w:t>87.213,93</w:t>
            </w:r>
          </w:p>
        </w:tc>
      </w:tr>
      <w:tr>
        <w:trPr/>
        <w:tc>
          <w:tcPr>
            <w:tcW w:w="14132" w:type="dxa"/>
            <w:gridSpan w:val="10"/>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76" w:before="120" w:after="120"/>
              <w:jc w:val="both"/>
              <w:rPr/>
            </w:pPr>
            <w:bookmarkStart w:id="13" w:name="_3dy6vkm"/>
            <w:bookmarkEnd w:id="13"/>
            <w:r>
              <w:rPr>
                <w:b/>
              </w:rPr>
              <w:t xml:space="preserve">Endereço e contatos para a prestação dos serviços: </w:t>
            </w:r>
            <w:r>
              <w:rPr/>
              <w:t>BR 428, Km 90, Zona Rural, CEP 56.380-000, Santa Maria da Boa Vista/PE. Telefone: (87) 99952-8816 – Email: csm.dap@ifsertao-pe.edu.br</w:t>
            </w:r>
          </w:p>
        </w:tc>
      </w:tr>
    </w:tbl>
    <w:p>
      <w:pPr>
        <w:pStyle w:val="Normal"/>
        <w:jc w:val="both"/>
        <w:rPr>
          <w:b/>
          <w:b/>
        </w:rPr>
      </w:pPr>
      <w:r>
        <w:rPr>
          <w:b/>
        </w:rPr>
      </w:r>
    </w:p>
    <w:p>
      <w:pPr>
        <w:pStyle w:val="Normal"/>
        <w:rPr/>
      </w:pPr>
      <w:r>
        <w:rPr/>
        <w:t>* Valor resultante da soma dos Valores Mensal Estimado SEM Desconto multiplicado pelo percentual de 0,01% (taxa de administração).</w:t>
      </w:r>
    </w:p>
    <w:p>
      <w:pPr>
        <w:pStyle w:val="Normal"/>
        <w:jc w:val="both"/>
        <w:rPr>
          <w:b/>
          <w:b/>
        </w:rPr>
      </w:pPr>
      <w:r>
        <w:rPr>
          <w:b/>
        </w:rPr>
      </w:r>
    </w:p>
    <w:p>
      <w:pPr>
        <w:pStyle w:val="Normal"/>
        <w:jc w:val="both"/>
        <w:rPr/>
      </w:pPr>
      <w:r>
        <w:rPr>
          <w:b/>
        </w:rPr>
        <w:t>Obs. 1:</w:t>
      </w:r>
      <w:r>
        <w:rPr/>
        <w:t xml:space="preserve"> Quanto aos itens 19 e 20, o VALOR TOTAL deverá ser o resultado da multiplicação do valor mensal com desconto por 12 meses; já quanto ao item 21,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rPr/>
      </w:pPr>
      <w:r>
        <w:rPr/>
      </w:r>
    </w:p>
    <w:p>
      <w:pPr>
        <w:pStyle w:val="Normal"/>
        <w:rPr/>
      </w:pPr>
      <w:r>
        <w:rPr/>
      </w:r>
    </w:p>
    <w:tbl>
      <w:tblPr>
        <w:tblW w:w="14190" w:type="dxa"/>
        <w:jc w:val="center"/>
        <w:tblInd w:w="0" w:type="dxa"/>
        <w:tblCellMar>
          <w:top w:w="0" w:type="dxa"/>
          <w:left w:w="98" w:type="dxa"/>
          <w:bottom w:w="0" w:type="dxa"/>
          <w:right w:w="108" w:type="dxa"/>
        </w:tblCellMar>
        <w:tblLook w:firstRow="0" w:noVBand="1" w:lastRow="0" w:firstColumn="0" w:lastColumn="0" w:noHBand="0" w:val="0400"/>
      </w:tblPr>
      <w:tblGrid>
        <w:gridCol w:w="553"/>
        <w:gridCol w:w="4951"/>
        <w:gridCol w:w="840"/>
        <w:gridCol w:w="1112"/>
        <w:gridCol w:w="1425"/>
        <w:gridCol w:w="1409"/>
        <w:gridCol w:w="3"/>
        <w:gridCol w:w="1034"/>
        <w:gridCol w:w="1350"/>
        <w:gridCol w:w="1"/>
        <w:gridCol w:w="1510"/>
      </w:tblGrid>
      <w:tr>
        <w:trPr/>
        <w:tc>
          <w:tcPr>
            <w:tcW w:w="14188" w:type="dxa"/>
            <w:gridSpan w:val="11"/>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245" w:right="-197" w:hanging="0"/>
              <w:jc w:val="center"/>
              <w:rPr>
                <w:b/>
                <w:b/>
                <w:sz w:val="22"/>
                <w:szCs w:val="22"/>
              </w:rPr>
            </w:pPr>
            <w:r>
              <w:rPr>
                <w:b/>
                <w:sz w:val="22"/>
                <w:szCs w:val="22"/>
              </w:rPr>
              <w:t xml:space="preserve">GRUPO 08 (Campus Serra Talhada/IF SERTÃO – PE – UASG 158741) </w:t>
            </w:r>
          </w:p>
          <w:p>
            <w:pPr>
              <w:pStyle w:val="Normal"/>
              <w:widowControl w:val="false"/>
              <w:ind w:right="-113" w:hanging="0"/>
              <w:jc w:val="center"/>
              <w:rPr>
                <w:b/>
                <w:b/>
                <w:sz w:val="18"/>
                <w:szCs w:val="18"/>
              </w:rPr>
            </w:pPr>
            <w:r>
              <w:rPr>
                <w:b/>
                <w:sz w:val="18"/>
                <w:szCs w:val="18"/>
              </w:rPr>
            </w:r>
          </w:p>
        </w:tc>
      </w:tr>
      <w:tr>
        <w:trPr/>
        <w:tc>
          <w:tcPr>
            <w:tcW w:w="55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49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4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1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425"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40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037"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5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b/>
                <w:b/>
                <w:sz w:val="18"/>
                <w:szCs w:val="18"/>
              </w:rPr>
            </w:pPr>
            <w:r>
              <w:rPr>
                <w:b/>
                <w:sz w:val="18"/>
                <w:szCs w:val="18"/>
              </w:rPr>
              <w:t>COM</w:t>
            </w:r>
          </w:p>
          <w:p>
            <w:pPr>
              <w:pStyle w:val="Normal"/>
              <w:widowControl w:val="false"/>
              <w:ind w:left="-114" w:right="-105" w:hanging="30"/>
              <w:jc w:val="center"/>
              <w:rPr>
                <w:sz w:val="18"/>
                <w:szCs w:val="18"/>
              </w:rPr>
            </w:pPr>
            <w:r>
              <w:rPr>
                <w:b/>
                <w:sz w:val="18"/>
                <w:szCs w:val="18"/>
              </w:rPr>
              <w:t>Desconto(R$)</w:t>
            </w:r>
          </w:p>
        </w:tc>
        <w:tc>
          <w:tcPr>
            <w:tcW w:w="1511"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right="-113" w:hanging="0"/>
              <w:jc w:val="center"/>
              <w:rPr>
                <w:sz w:val="18"/>
                <w:szCs w:val="18"/>
              </w:rPr>
            </w:pPr>
            <w:r>
              <w:rPr>
                <w:b/>
                <w:sz w:val="18"/>
                <w:szCs w:val="18"/>
              </w:rPr>
              <w:t>Valor Total (R$)</w:t>
            </w:r>
          </w:p>
        </w:tc>
      </w:tr>
      <w:tr>
        <w:trPr>
          <w:trHeight w:val="1343" w:hRule="atLeast"/>
        </w:trPr>
        <w:tc>
          <w:tcPr>
            <w:tcW w:w="55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22</w:t>
            </w:r>
          </w:p>
        </w:tc>
        <w:tc>
          <w:tcPr>
            <w:tcW w:w="495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4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1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pPr>
            <w:r>
              <w:rPr/>
            </w:r>
          </w:p>
          <w:p>
            <w:pPr>
              <w:pStyle w:val="Normal"/>
              <w:widowControl w:val="false"/>
              <w:spacing w:lineRule="auto" w:line="276" w:before="0" w:after="120"/>
              <w:rPr>
                <w:color w:val="000000" w:themeColor="text1"/>
              </w:rPr>
            </w:pPr>
            <w:r>
              <w:rPr/>
              <w:t>12</w:t>
            </w:r>
          </w:p>
        </w:tc>
        <w:tc>
          <w:tcPr>
            <w:tcW w:w="142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7.991,81</w:t>
            </w:r>
          </w:p>
        </w:tc>
        <w:tc>
          <w:tcPr>
            <w:tcW w:w="140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95.901,72</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5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7.712,89</w:t>
            </w:r>
          </w:p>
        </w:tc>
        <w:tc>
          <w:tcPr>
            <w:tcW w:w="1511"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92.554,68</w:t>
            </w:r>
          </w:p>
        </w:tc>
      </w:tr>
      <w:tr>
        <w:trPr/>
        <w:tc>
          <w:tcPr>
            <w:tcW w:w="55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t>23</w:t>
            </w:r>
          </w:p>
        </w:tc>
        <w:tc>
          <w:tcPr>
            <w:tcW w:w="495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4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1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left="113" w:hanging="0"/>
              <w:rPr>
                <w:color w:val="000000"/>
              </w:rPr>
            </w:pPr>
            <w:r>
              <w:rPr>
                <w:color w:val="000000"/>
              </w:rPr>
            </w:r>
          </w:p>
          <w:p>
            <w:pPr>
              <w:pStyle w:val="Normal"/>
              <w:widowControl w:val="false"/>
              <w:spacing w:lineRule="auto" w:line="276" w:before="0" w:after="120"/>
              <w:ind w:left="113" w:hanging="0"/>
              <w:rPr/>
            </w:pPr>
            <w:r>
              <w:rPr>
                <w:color w:val="000000"/>
              </w:rPr>
              <w:t>12</w:t>
            </w:r>
          </w:p>
        </w:tc>
        <w:tc>
          <w:tcPr>
            <w:tcW w:w="142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1.508,50</w:t>
            </w:r>
          </w:p>
        </w:tc>
        <w:tc>
          <w:tcPr>
            <w:tcW w:w="140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18.102,00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35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1.402,90</w:t>
            </w:r>
          </w:p>
        </w:tc>
        <w:tc>
          <w:tcPr>
            <w:tcW w:w="1511"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16.834,80</w:t>
            </w:r>
          </w:p>
        </w:tc>
      </w:tr>
      <w:tr>
        <w:trPr/>
        <w:tc>
          <w:tcPr>
            <w:tcW w:w="553"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jc w:val="center"/>
              <w:rPr/>
            </w:pPr>
            <w:r>
              <w:rPr/>
            </w:r>
          </w:p>
        </w:tc>
        <w:tc>
          <w:tcPr>
            <w:tcW w:w="4951" w:type="dxa"/>
            <w:tcBorders>
              <w:top w:val="single" w:sz="4" w:space="0" w:color="000001"/>
              <w:left w:val="single" w:sz="4" w:space="0" w:color="000001"/>
              <w:bottom w:val="single" w:sz="4" w:space="0" w:color="000001"/>
              <w:right w:val="single" w:sz="4" w:space="0" w:color="000001"/>
            </w:tcBorders>
            <w:shd w:color="auto" w:fill="DBEEF3" w:val="clear"/>
          </w:tcPr>
          <w:p>
            <w:pPr>
              <w:pStyle w:val="Normal"/>
              <w:jc w:val="both"/>
              <w:rPr>
                <w:b/>
                <w:b/>
              </w:rPr>
            </w:pPr>
            <w:r>
              <w:rPr>
                <w:b/>
              </w:rPr>
            </w:r>
          </w:p>
        </w:tc>
        <w:tc>
          <w:tcPr>
            <w:tcW w:w="84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right="-198" w:hanging="0"/>
              <w:rPr/>
            </w:pPr>
            <w:r>
              <w:rPr/>
            </w:r>
          </w:p>
        </w:tc>
        <w:tc>
          <w:tcPr>
            <w:tcW w:w="1112"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ind w:left="113" w:hanging="0"/>
              <w:rPr/>
            </w:pPr>
            <w:r>
              <w:rPr/>
            </w:r>
          </w:p>
        </w:tc>
        <w:tc>
          <w:tcPr>
            <w:tcW w:w="1425" w:type="dxa"/>
            <w:tcBorders>
              <w:top w:val="single" w:sz="4" w:space="0" w:color="000001"/>
              <w:left w:val="single" w:sz="4" w:space="0" w:color="000001"/>
              <w:bottom w:val="single" w:sz="4" w:space="0" w:color="000001"/>
              <w:right w:val="single" w:sz="4" w:space="0" w:color="000001"/>
            </w:tcBorders>
            <w:shd w:color="auto" w:fill="DBEEF3" w:val="clear"/>
          </w:tcPr>
          <w:p>
            <w:pPr>
              <w:pStyle w:val="Normal"/>
              <w:ind w:left="-15" w:right="-50" w:hanging="0"/>
              <w:rPr>
                <w:color w:val="000000" w:themeColor="text1"/>
              </w:rPr>
            </w:pPr>
            <w:r>
              <w:rPr>
                <w:color w:val="000000" w:themeColor="text1"/>
              </w:rPr>
            </w:r>
          </w:p>
        </w:tc>
        <w:tc>
          <w:tcPr>
            <w:tcW w:w="1409"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037"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350" w:type="dxa"/>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color w:val="000000" w:themeColor="text1"/>
                <w:sz w:val="18"/>
                <w:szCs w:val="18"/>
              </w:rPr>
            </w:pPr>
            <w:r>
              <w:rPr>
                <w:color w:val="000000" w:themeColor="text1"/>
                <w:sz w:val="18"/>
                <w:szCs w:val="18"/>
              </w:rPr>
            </w:r>
          </w:p>
        </w:tc>
        <w:tc>
          <w:tcPr>
            <w:tcW w:w="1511" w:type="dxa"/>
            <w:gridSpan w:val="2"/>
            <w:tcBorders>
              <w:top w:val="single" w:sz="4" w:space="0" w:color="000001"/>
              <w:left w:val="single" w:sz="4" w:space="0" w:color="000001"/>
              <w:bottom w:val="single" w:sz="4" w:space="0" w:color="000001"/>
              <w:right w:val="single" w:sz="4" w:space="0" w:color="000001"/>
            </w:tcBorders>
            <w:shd w:color="auto" w:fill="DBEEF3" w:val="clear"/>
          </w:tcPr>
          <w:p>
            <w:pPr>
              <w:pStyle w:val="Normal"/>
              <w:widowControl w:val="false"/>
              <w:spacing w:lineRule="auto" w:line="276" w:before="0" w:after="120"/>
              <w:rPr>
                <w:color w:val="000000" w:themeColor="text1"/>
              </w:rPr>
            </w:pPr>
            <w:r>
              <w:rPr>
                <w:color w:val="000000" w:themeColor="text1"/>
              </w:rPr>
            </w:r>
          </w:p>
        </w:tc>
      </w:tr>
      <w:tr>
        <w:trPr/>
        <w:tc>
          <w:tcPr>
            <w:tcW w:w="55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24</w:t>
            </w:r>
          </w:p>
        </w:tc>
        <w:tc>
          <w:tcPr>
            <w:tcW w:w="495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4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1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left="113" w:hanging="0"/>
              <w:jc w:val="center"/>
              <w:rPr/>
            </w:pPr>
            <w:r>
              <w:rPr/>
            </w:r>
          </w:p>
          <w:p>
            <w:pPr>
              <w:pStyle w:val="Normal"/>
              <w:widowControl w:val="false"/>
              <w:spacing w:lineRule="auto" w:line="276" w:before="0" w:after="120"/>
              <w:ind w:left="113" w:hanging="0"/>
              <w:jc w:val="center"/>
              <w:rPr/>
            </w:pPr>
            <w:r>
              <w:rPr>
                <w:color w:val="000000"/>
              </w:rPr>
              <w:t>12</w:t>
            </w:r>
          </w:p>
        </w:tc>
        <w:tc>
          <w:tcPr>
            <w:tcW w:w="14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r>
          </w:p>
          <w:p>
            <w:pPr>
              <w:pStyle w:val="Normal"/>
              <w:ind w:left="-15" w:right="-50" w:hanging="0"/>
              <w:jc w:val="center"/>
              <w:rPr>
                <w:color w:val="000000" w:themeColor="text1"/>
              </w:rPr>
            </w:pPr>
            <w:r>
              <w:rPr>
                <w:color w:val="000000" w:themeColor="text1"/>
              </w:rPr>
              <w:t>*0,95</w:t>
            </w:r>
          </w:p>
        </w:tc>
        <w:tc>
          <w:tcPr>
            <w:tcW w:w="14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ind w:right="-50" w:hanging="0"/>
              <w:jc w:val="center"/>
              <w:rPr>
                <w:color w:val="000000"/>
              </w:rPr>
            </w:pPr>
            <w:r>
              <w:rPr>
                <w:color w:val="000000" w:themeColor="text1"/>
              </w:rPr>
              <w:t>11,40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360" w:before="0" w:after="120"/>
              <w:jc w:val="center"/>
              <w:rPr>
                <w:color w:val="000000"/>
              </w:rPr>
            </w:pPr>
            <w:r>
              <w:rPr>
                <w:color w:val="000000" w:themeColor="text1"/>
              </w:rPr>
              <w:t xml:space="preserve">   </w:t>
            </w:r>
            <w:r>
              <w:rPr>
                <w:color w:val="000000" w:themeColor="text1"/>
              </w:rPr>
              <w:t>0,01</w:t>
            </w:r>
            <w:r>
              <w:rPr>
                <w:color w:val="000000" w:themeColor="text1"/>
                <w:sz w:val="18"/>
                <w:szCs w:val="18"/>
              </w:rPr>
              <w:t>%</w:t>
            </w:r>
          </w:p>
        </w:tc>
        <w:tc>
          <w:tcPr>
            <w:tcW w:w="135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color w:val="000000" w:themeColor="text1"/>
              </w:rPr>
            </w:pPr>
            <w:r>
              <w:rPr>
                <w:color w:val="000000" w:themeColor="text1"/>
              </w:rPr>
            </w:r>
          </w:p>
        </w:tc>
        <w:tc>
          <w:tcPr>
            <w:tcW w:w="1511"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120"/>
              <w:jc w:val="center"/>
              <w:rPr>
                <w:b/>
                <w:b/>
                <w:bCs/>
                <w:color w:val="000000"/>
              </w:rPr>
            </w:pPr>
            <w:r>
              <w:rPr>
                <w:b/>
                <w:bCs/>
                <w:color w:val="000000"/>
              </w:rPr>
            </w:r>
          </w:p>
          <w:p>
            <w:pPr>
              <w:pStyle w:val="Normal"/>
              <w:widowControl w:val="false"/>
              <w:spacing w:lineRule="auto" w:line="276" w:before="0" w:after="120"/>
              <w:ind w:right="-50" w:hanging="0"/>
              <w:jc w:val="center"/>
              <w:rPr>
                <w:color w:val="000000"/>
              </w:rPr>
            </w:pPr>
            <w:r>
              <w:rPr>
                <w:b/>
                <w:bCs/>
                <w:color w:val="000000"/>
              </w:rPr>
              <w:t>11,39</w:t>
            </w:r>
          </w:p>
          <w:p>
            <w:pPr>
              <w:pStyle w:val="Normal"/>
              <w:widowControl w:val="false"/>
              <w:spacing w:lineRule="auto" w:line="276" w:before="0" w:after="120"/>
              <w:jc w:val="center"/>
              <w:rPr>
                <w:b/>
                <w:b/>
                <w:bCs/>
                <w:color w:val="000000"/>
              </w:rPr>
            </w:pPr>
            <w:r>
              <w:rPr>
                <w:b/>
                <w:bCs/>
                <w:color w:val="000000"/>
              </w:rPr>
            </w:r>
          </w:p>
        </w:tc>
      </w:tr>
      <w:tr>
        <w:trPr>
          <w:trHeight w:val="564" w:hRule="atLeast"/>
        </w:trPr>
        <w:tc>
          <w:tcPr>
            <w:tcW w:w="8881"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b/>
                <w:b/>
              </w:rPr>
            </w:pPr>
            <w:r>
              <w:rPr>
                <w:b/>
              </w:rPr>
              <w:t>TOTAL (R$) SEM DESCONTO</w:t>
            </w:r>
          </w:p>
          <w:p>
            <w:pPr>
              <w:pStyle w:val="Normal"/>
              <w:ind w:left="-15" w:right="-50" w:hanging="0"/>
              <w:jc w:val="right"/>
              <w:rPr>
                <w:color w:val="000000" w:themeColor="text1"/>
              </w:rPr>
            </w:pPr>
            <w:r>
              <w:rPr>
                <w:b/>
              </w:rPr>
              <w:t>GRUPO 08</w:t>
            </w:r>
          </w:p>
        </w:tc>
        <w:tc>
          <w:tcPr>
            <w:tcW w:w="1412"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rPr>
              <w:t>114.015,12</w:t>
            </w:r>
          </w:p>
        </w:tc>
        <w:tc>
          <w:tcPr>
            <w:tcW w:w="238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rPr>
              <w:t>TOTAL (R$) COM DESCONTO</w:t>
            </w:r>
          </w:p>
        </w:tc>
        <w:tc>
          <w:tcPr>
            <w:tcW w:w="1510"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jc w:val="center"/>
              <w:rPr>
                <w:color w:val="000000"/>
              </w:rPr>
            </w:pPr>
            <w:r>
              <w:rPr>
                <w:b/>
                <w:bCs/>
                <w:color w:val="000000"/>
              </w:rPr>
              <w:t>109.400,87</w:t>
            </w:r>
          </w:p>
        </w:tc>
      </w:tr>
      <w:tr>
        <w:trPr>
          <w:trHeight w:val="315" w:hRule="atLeast"/>
        </w:trPr>
        <w:tc>
          <w:tcPr>
            <w:tcW w:w="14188" w:type="dxa"/>
            <w:gridSpan w:val="11"/>
            <w:tcBorders>
              <w:top w:val="single" w:sz="4" w:space="0" w:color="000001"/>
              <w:left w:val="single" w:sz="4" w:space="0" w:color="000001"/>
              <w:bottom w:val="single" w:sz="4" w:space="0" w:color="000001"/>
              <w:right w:val="single" w:sz="4" w:space="0" w:color="000001"/>
            </w:tcBorders>
            <w:shd w:color="auto" w:fill="D6E3BC" w:themeFill="accent3" w:themeFillTint="66" w:val="clear"/>
          </w:tcPr>
          <w:p>
            <w:pPr>
              <w:pStyle w:val="Normal"/>
              <w:widowControl w:val="false"/>
              <w:spacing w:lineRule="auto" w:line="276" w:before="0" w:after="120"/>
              <w:rPr>
                <w:b/>
                <w:b/>
                <w:color w:val="000000"/>
              </w:rPr>
            </w:pPr>
            <w:r>
              <w:rPr>
                <w:b/>
                <w:color w:val="000000"/>
              </w:rPr>
            </w:r>
          </w:p>
        </w:tc>
      </w:tr>
      <w:tr>
        <w:trPr/>
        <w:tc>
          <w:tcPr>
            <w:tcW w:w="8881" w:type="dxa"/>
            <w:gridSpan w:val="5"/>
            <w:tcBorders>
              <w:top w:val="single" w:sz="4" w:space="0" w:color="000001"/>
              <w:left w:val="single" w:sz="4" w:space="0" w:color="000001"/>
              <w:bottom w:val="single" w:sz="4" w:space="0" w:color="000001"/>
              <w:right w:val="single" w:sz="4" w:space="0" w:color="000001"/>
            </w:tcBorders>
            <w:shd w:fill="auto" w:val="clear"/>
          </w:tcPr>
          <w:p>
            <w:pPr>
              <w:pStyle w:val="Normal"/>
              <w:ind w:left="-15" w:right="-50" w:hanging="0"/>
              <w:jc w:val="right"/>
              <w:rPr>
                <w:b/>
                <w:b/>
                <w:sz w:val="18"/>
                <w:szCs w:val="18"/>
              </w:rPr>
            </w:pPr>
            <w:r>
              <w:rPr>
                <w:b/>
                <w:sz w:val="18"/>
                <w:szCs w:val="18"/>
              </w:rPr>
              <w:t>VALOR GLOBAL R$ SEM DESCONTO - GRUPOS 01 A 08</w:t>
            </w:r>
          </w:p>
        </w:tc>
        <w:tc>
          <w:tcPr>
            <w:tcW w:w="1412" w:type="dxa"/>
            <w:gridSpan w:val="2"/>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sz w:val="20"/>
                <w:szCs w:val="20"/>
              </w:rPr>
              <w:t>1.349.107,56</w:t>
            </w:r>
          </w:p>
        </w:tc>
        <w:tc>
          <w:tcPr>
            <w:tcW w:w="238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0" w:after="120"/>
              <w:rPr>
                <w:color w:val="000000"/>
              </w:rPr>
            </w:pPr>
            <w:r>
              <w:rPr>
                <w:b/>
                <w:color w:val="000000"/>
                <w:sz w:val="18"/>
                <w:szCs w:val="18"/>
              </w:rPr>
              <w:t>VALOR GLOBAL COM DESCONTO R$ - GRUPOS 01 A 08</w:t>
            </w:r>
          </w:p>
        </w:tc>
        <w:tc>
          <w:tcPr>
            <w:tcW w:w="1510" w:type="dxa"/>
            <w:tcBorders>
              <w:top w:val="single" w:sz="4" w:space="0" w:color="000001"/>
              <w:left w:val="single" w:sz="4" w:space="0" w:color="000001"/>
              <w:bottom w:val="single" w:sz="4" w:space="0" w:color="000001"/>
              <w:right w:val="single" w:sz="4" w:space="0" w:color="000001"/>
            </w:tcBorders>
            <w:shd w:color="auto" w:fill="FFFF00" w:val="clear"/>
          </w:tcPr>
          <w:p>
            <w:pPr>
              <w:pStyle w:val="Normal"/>
              <w:widowControl w:val="false"/>
              <w:spacing w:lineRule="auto" w:line="276" w:before="0" w:after="120"/>
              <w:rPr>
                <w:color w:val="000000"/>
              </w:rPr>
            </w:pPr>
            <w:r>
              <w:rPr>
                <w:b/>
                <w:bCs/>
                <w:color w:val="000000"/>
                <w:sz w:val="22"/>
                <w:szCs w:val="22"/>
              </w:rPr>
              <w:t>1.279.996,82</w:t>
            </w:r>
          </w:p>
        </w:tc>
      </w:tr>
      <w:tr>
        <w:trPr/>
        <w:tc>
          <w:tcPr>
            <w:tcW w:w="14188" w:type="dxa"/>
            <w:gridSpan w:val="11"/>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rPr>
                <w:b/>
                <w:b/>
              </w:rPr>
            </w:pPr>
            <w:bookmarkStart w:id="14" w:name="_1t3h5sf"/>
            <w:bookmarkEnd w:id="14"/>
            <w:r>
              <w:rPr>
                <w:b/>
              </w:rPr>
              <w:t xml:space="preserve">Endereço e contatos para a prestação dos serviços: </w:t>
            </w:r>
            <w:r>
              <w:rPr/>
              <w:t>Rodovia PE 320, Km 126, Zona Rural, Caixa Postal 70, CEP 56900-000, Serra Talhada/PE. Telefone: (87) 98866-1978 – E-mail:  elenilson.nobre@ifsertao-pe.edu.br</w:t>
            </w:r>
          </w:p>
        </w:tc>
      </w:tr>
    </w:tbl>
    <w:p>
      <w:pPr>
        <w:pStyle w:val="Normal"/>
        <w:rPr/>
      </w:pPr>
      <w:r>
        <w:rPr/>
        <w:t>* Valor resultante da soma dos Valores Mensal Estimado SEM Desconto multiplicado pelo percentual de 0,01% (taxa de administração).</w:t>
      </w:r>
    </w:p>
    <w:p>
      <w:pPr>
        <w:pStyle w:val="Normal"/>
        <w:rPr/>
      </w:pPr>
      <w:r>
        <w:rPr/>
      </w:r>
    </w:p>
    <w:p>
      <w:pPr>
        <w:pStyle w:val="Normal"/>
        <w:spacing w:lineRule="auto" w:line="240" w:before="0" w:after="0"/>
        <w:jc w:val="both"/>
        <w:rPr/>
      </w:pPr>
      <w:r>
        <w:rPr>
          <w:b/>
        </w:rPr>
        <w:t>Obs. 1:</w:t>
      </w:r>
      <w:r>
        <w:rPr/>
        <w:t xml:space="preserve"> Quanto aos itens 22 e 23, o VALOR TOTAL deverá ser o resultado da multiplicação do valor mensal com desconto por 12 meses; já quanto ao item 24,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spacing w:before="0" w:after="360"/>
        <w:rPr>
          <w:sz w:val="24"/>
          <w:szCs w:val="24"/>
        </w:rPr>
      </w:pPr>
      <w:r>
        <w:rPr>
          <w:sz w:val="24"/>
          <w:szCs w:val="24"/>
        </w:rPr>
      </w:r>
    </w:p>
    <w:p>
      <w:pPr>
        <w:pStyle w:val="Normal"/>
        <w:spacing w:before="0" w:after="360"/>
        <w:rPr>
          <w:b/>
          <w:b/>
          <w:sz w:val="24"/>
          <w:szCs w:val="24"/>
        </w:rPr>
      </w:pPr>
      <w:r>
        <w:rPr>
          <w:b/>
          <w:sz w:val="24"/>
          <w:szCs w:val="24"/>
        </w:rPr>
      </w:r>
    </w:p>
    <w:p>
      <w:pPr>
        <w:pStyle w:val="Normal"/>
        <w:spacing w:before="0" w:after="360"/>
        <w:rPr>
          <w:sz w:val="18"/>
          <w:szCs w:val="18"/>
        </w:rPr>
      </w:pPr>
      <w:r>
        <w:rPr>
          <w:sz w:val="18"/>
          <w:szCs w:val="18"/>
        </w:rPr>
      </w:r>
    </w:p>
    <w:p>
      <w:pPr>
        <w:pStyle w:val="Normal"/>
        <w:spacing w:before="0" w:after="120"/>
        <w:jc w:val="center"/>
        <w:rPr>
          <w:b/>
          <w:b/>
          <w:sz w:val="30"/>
          <w:szCs w:val="30"/>
        </w:rPr>
      </w:pPr>
      <w:r>
        <w:rPr>
          <w:b/>
          <w:sz w:val="30"/>
          <w:szCs w:val="30"/>
        </w:rPr>
      </w:r>
    </w:p>
    <w:p>
      <w:pPr>
        <w:pStyle w:val="Normal"/>
        <w:spacing w:before="0" w:after="120"/>
        <w:jc w:val="center"/>
        <w:rPr>
          <w:b/>
          <w:b/>
          <w:sz w:val="30"/>
          <w:szCs w:val="30"/>
        </w:rPr>
      </w:pPr>
      <w:r>
        <w:rPr>
          <w:b/>
          <w:sz w:val="30"/>
          <w:szCs w:val="30"/>
        </w:rPr>
      </w:r>
    </w:p>
    <w:p>
      <w:pPr>
        <w:pStyle w:val="Normal"/>
        <w:spacing w:before="0" w:after="120"/>
        <w:jc w:val="center"/>
        <w:rPr>
          <w:b/>
          <w:b/>
          <w:sz w:val="30"/>
          <w:szCs w:val="30"/>
        </w:rPr>
      </w:pPr>
      <w:r>
        <w:rPr>
          <w:b/>
          <w:sz w:val="30"/>
          <w:szCs w:val="30"/>
        </w:rPr>
      </w:r>
    </w:p>
    <w:p>
      <w:pPr>
        <w:pStyle w:val="Normal"/>
        <w:spacing w:before="0" w:after="120"/>
        <w:jc w:val="center"/>
        <w:rPr>
          <w:b/>
          <w:b/>
          <w:sz w:val="30"/>
          <w:szCs w:val="30"/>
        </w:rPr>
      </w:pPr>
      <w:r>
        <w:rPr>
          <w:b/>
          <w:sz w:val="30"/>
          <w:szCs w:val="30"/>
        </w:rPr>
      </w:r>
    </w:p>
    <w:p>
      <w:pPr>
        <w:pStyle w:val="Normal"/>
        <w:spacing w:before="0" w:after="120"/>
        <w:jc w:val="center"/>
        <w:rPr>
          <w:b/>
          <w:b/>
          <w:sz w:val="30"/>
          <w:szCs w:val="30"/>
        </w:rPr>
      </w:pPr>
      <w:r>
        <w:rPr>
          <w:b/>
          <w:sz w:val="30"/>
          <w:szCs w:val="30"/>
        </w:rPr>
      </w:r>
    </w:p>
    <w:p>
      <w:pPr>
        <w:pStyle w:val="Normal"/>
        <w:spacing w:before="0" w:after="120"/>
        <w:jc w:val="center"/>
        <w:rPr>
          <w:b/>
          <w:b/>
          <w:sz w:val="30"/>
          <w:szCs w:val="30"/>
        </w:rPr>
      </w:pPr>
      <w:r>
        <w:rPr>
          <w:b/>
          <w:sz w:val="30"/>
          <w:szCs w:val="30"/>
        </w:rPr>
      </w:r>
    </w:p>
    <w:p>
      <w:pPr>
        <w:pStyle w:val="Normal"/>
        <w:spacing w:before="0" w:after="120"/>
        <w:jc w:val="center"/>
        <w:rPr>
          <w:b/>
          <w:b/>
          <w:sz w:val="30"/>
          <w:szCs w:val="30"/>
        </w:rPr>
      </w:pPr>
      <w:r>
        <w:rPr>
          <w:b/>
          <w:sz w:val="30"/>
          <w:szCs w:val="30"/>
        </w:rPr>
      </w:r>
    </w:p>
    <w:p>
      <w:pPr>
        <w:pStyle w:val="Normal"/>
        <w:spacing w:before="0" w:after="120"/>
        <w:jc w:val="center"/>
        <w:rPr>
          <w:b/>
          <w:b/>
          <w:sz w:val="30"/>
          <w:szCs w:val="30"/>
        </w:rPr>
      </w:pPr>
      <w:r>
        <w:rPr>
          <w:b/>
          <w:sz w:val="30"/>
          <w:szCs w:val="30"/>
        </w:rPr>
        <w:t>ANEXO I/D</w:t>
      </w:r>
    </w:p>
    <w:p>
      <w:pPr>
        <w:sectPr>
          <w:headerReference w:type="default" r:id="rId19"/>
          <w:footerReference w:type="default" r:id="rId20"/>
          <w:type w:val="nextPage"/>
          <w:pgSz w:orient="landscape" w:w="16838" w:h="11906"/>
          <w:pgMar w:left="1418" w:right="1418" w:header="709" w:top="1701" w:footer="709" w:bottom="1134" w:gutter="0"/>
          <w:pgNumType w:fmt="decimal"/>
          <w:formProt w:val="false"/>
          <w:textDirection w:val="lrTb"/>
          <w:docGrid w:type="default" w:linePitch="100" w:charSpace="16384"/>
        </w:sectPr>
        <w:pStyle w:val="Normal"/>
        <w:spacing w:before="0" w:after="120"/>
        <w:ind w:left="357" w:hanging="0"/>
        <w:jc w:val="center"/>
        <w:rPr>
          <w:b/>
          <w:b/>
          <w:sz w:val="30"/>
          <w:szCs w:val="30"/>
        </w:rPr>
      </w:pPr>
      <w:r>
        <w:rPr>
          <w:b/>
          <w:sz w:val="30"/>
          <w:szCs w:val="30"/>
        </w:rPr>
        <w:t>LISTA DA FROTA (VEÍCULOS, TRATORES E EQUIPAMENTOS) OBJETO DA CONTRATAÇÃO</w:t>
      </w:r>
    </w:p>
    <w:p>
      <w:pPr>
        <w:pStyle w:val="Normal"/>
        <w:spacing w:before="0" w:after="120"/>
        <w:jc w:val="center"/>
        <w:rPr/>
      </w:pPr>
      <w:r>
        <w:rPr>
          <w:b/>
          <w:sz w:val="22"/>
          <w:szCs w:val="22"/>
        </w:rPr>
        <w:t>ANEXO I/D</w:t>
      </w:r>
    </w:p>
    <w:p>
      <w:pPr>
        <w:pStyle w:val="Normal"/>
        <w:spacing w:before="0" w:after="120"/>
        <w:ind w:left="357" w:hanging="0"/>
        <w:jc w:val="center"/>
        <w:rPr>
          <w:b/>
          <w:b/>
          <w:sz w:val="22"/>
          <w:szCs w:val="22"/>
        </w:rPr>
      </w:pPr>
      <w:r>
        <w:rPr>
          <w:b/>
          <w:sz w:val="22"/>
          <w:szCs w:val="22"/>
        </w:rPr>
        <w:t>LISTA DA FROTA (VEÍCULOS, TRATORES E EQUIPAMENTOS) OBJETO DA CONTRATAÇÃO</w:t>
      </w:r>
    </w:p>
    <w:p>
      <w:pPr>
        <w:pStyle w:val="Normal"/>
        <w:spacing w:before="0" w:after="360"/>
        <w:ind w:left="360" w:hanging="0"/>
        <w:rPr/>
      </w:pPr>
      <w:r>
        <w:rPr/>
      </w:r>
    </w:p>
    <w:p>
      <w:pPr>
        <w:pStyle w:val="Normal"/>
        <w:spacing w:before="0" w:after="360"/>
        <w:ind w:left="360" w:hanging="0"/>
        <w:rPr>
          <w:rFonts w:ascii="Times New Roman" w:hAnsi="Times New Roman" w:eastAsia="Times New Roman" w:cs="Times New Roman"/>
          <w:b/>
          <w:b/>
          <w:sz w:val="24"/>
          <w:szCs w:val="24"/>
        </w:rPr>
      </w:pPr>
      <w:r>
        <w:rPr>
          <w:b/>
          <w:sz w:val="22"/>
          <w:szCs w:val="22"/>
        </w:rPr>
        <w:t>GRUPO 01(Reitoria/IF SERTÃO</w:t>
      </w:r>
      <w:r>
        <w:rPr>
          <w:rFonts w:eastAsia="Times New Roman" w:cs="Times New Roman" w:ascii="Times New Roman" w:hAnsi="Times New Roman"/>
          <w:b/>
          <w:sz w:val="24"/>
          <w:szCs w:val="24"/>
        </w:rPr>
        <w:t xml:space="preserve"> – PE – UASG 158149)</w:t>
      </w:r>
    </w:p>
    <w:tbl>
      <w:tblPr>
        <w:tblW w:w="8880" w:type="dxa"/>
        <w:jc w:val="left"/>
        <w:tblInd w:w="360" w:type="dxa"/>
        <w:tblCellMar>
          <w:top w:w="0" w:type="dxa"/>
          <w:left w:w="98" w:type="dxa"/>
          <w:bottom w:w="0" w:type="dxa"/>
          <w:right w:w="108" w:type="dxa"/>
        </w:tblCellMar>
        <w:tblLook w:firstRow="0" w:noVBand="1" w:lastRow="0" w:firstColumn="0" w:lastColumn="0" w:noHBand="0" w:val="0400"/>
      </w:tblPr>
      <w:tblGrid>
        <w:gridCol w:w="2648"/>
        <w:gridCol w:w="1488"/>
        <w:gridCol w:w="1214"/>
        <w:gridCol w:w="1246"/>
        <w:gridCol w:w="2284"/>
      </w:tblGrid>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TIPO</w:t>
            </w:r>
          </w:p>
          <w:p>
            <w:pPr>
              <w:pStyle w:val="Normal"/>
              <w:spacing w:before="0" w:after="360"/>
              <w:jc w:val="center"/>
              <w:rPr>
                <w:b/>
                <w:b/>
              </w:rPr>
            </w:pPr>
            <w:r>
              <w:rPr>
                <w:b/>
              </w:rPr>
              <w:t>VEÍCULO/EQUIPAMENTO</w:t>
            </w:r>
          </w:p>
        </w:tc>
        <w:tc>
          <w:tcPr>
            <w:tcW w:w="1488"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MARCA</w:t>
            </w:r>
          </w:p>
        </w:tc>
        <w:tc>
          <w:tcPr>
            <w:tcW w:w="1214"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ANO</w:t>
            </w:r>
          </w:p>
        </w:tc>
        <w:tc>
          <w:tcPr>
            <w:tcW w:w="1246"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PLACA</w:t>
            </w:r>
          </w:p>
        </w:tc>
        <w:tc>
          <w:tcPr>
            <w:tcW w:w="2284"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TIPO DE COMBUSTÍVEL</w:t>
            </w:r>
          </w:p>
        </w:tc>
      </w:tr>
      <w:tr>
        <w:trPr>
          <w:trHeight w:val="154" w:hRule="atLeast"/>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AUTOMÓVEL</w:t>
            </w:r>
          </w:p>
        </w:tc>
        <w:tc>
          <w:tcPr>
            <w:tcW w:w="148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FORD</w:t>
            </w:r>
          </w:p>
        </w:tc>
        <w:tc>
          <w:tcPr>
            <w:tcW w:w="121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2010</w:t>
            </w:r>
          </w:p>
        </w:tc>
        <w:tc>
          <w:tcPr>
            <w:tcW w:w="124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KHA 7813</w:t>
            </w:r>
          </w:p>
        </w:tc>
        <w:tc>
          <w:tcPr>
            <w:tcW w:w="228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GASOLINA/ETANOL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AUTOMÓVEL</w:t>
            </w:r>
          </w:p>
        </w:tc>
        <w:tc>
          <w:tcPr>
            <w:tcW w:w="148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FORD</w:t>
            </w:r>
          </w:p>
        </w:tc>
        <w:tc>
          <w:tcPr>
            <w:tcW w:w="121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2010</w:t>
            </w:r>
          </w:p>
        </w:tc>
        <w:tc>
          <w:tcPr>
            <w:tcW w:w="124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KGW 1983</w:t>
            </w:r>
          </w:p>
        </w:tc>
        <w:tc>
          <w:tcPr>
            <w:tcW w:w="228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GASOLINA/ETANOL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CAMINHÃO</w:t>
            </w:r>
          </w:p>
        </w:tc>
        <w:tc>
          <w:tcPr>
            <w:tcW w:w="148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MERCEDES BENZ</w:t>
            </w:r>
          </w:p>
        </w:tc>
        <w:tc>
          <w:tcPr>
            <w:tcW w:w="121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2011</w:t>
            </w:r>
          </w:p>
        </w:tc>
        <w:tc>
          <w:tcPr>
            <w:tcW w:w="124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JDX 3434</w:t>
            </w:r>
          </w:p>
        </w:tc>
        <w:tc>
          <w:tcPr>
            <w:tcW w:w="228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CAMINHONTE</w:t>
            </w:r>
          </w:p>
        </w:tc>
        <w:tc>
          <w:tcPr>
            <w:tcW w:w="148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AMAROK</w:t>
            </w:r>
          </w:p>
        </w:tc>
        <w:tc>
          <w:tcPr>
            <w:tcW w:w="121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2014</w:t>
            </w:r>
          </w:p>
        </w:tc>
        <w:tc>
          <w:tcPr>
            <w:tcW w:w="124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OYP 8958</w:t>
            </w:r>
          </w:p>
        </w:tc>
        <w:tc>
          <w:tcPr>
            <w:tcW w:w="228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CAMINHONTE</w:t>
            </w:r>
          </w:p>
        </w:tc>
        <w:tc>
          <w:tcPr>
            <w:tcW w:w="148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FRONTIER</w:t>
            </w:r>
          </w:p>
        </w:tc>
        <w:tc>
          <w:tcPr>
            <w:tcW w:w="121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2014</w:t>
            </w:r>
          </w:p>
        </w:tc>
        <w:tc>
          <w:tcPr>
            <w:tcW w:w="124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OXH 9201</w:t>
            </w:r>
          </w:p>
        </w:tc>
        <w:tc>
          <w:tcPr>
            <w:tcW w:w="228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rHeight w:val="70" w:hRule="atLeast"/>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MICRONIBUS</w:t>
            </w:r>
          </w:p>
        </w:tc>
        <w:tc>
          <w:tcPr>
            <w:tcW w:w="148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CITROEN</w:t>
            </w:r>
          </w:p>
        </w:tc>
        <w:tc>
          <w:tcPr>
            <w:tcW w:w="121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2011/2012</w:t>
            </w:r>
          </w:p>
        </w:tc>
        <w:tc>
          <w:tcPr>
            <w:tcW w:w="124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PFO 6582</w:t>
            </w:r>
          </w:p>
        </w:tc>
        <w:tc>
          <w:tcPr>
            <w:tcW w:w="228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bookmarkStart w:id="16" w:name="_Hlk80682401"/>
            <w:bookmarkEnd w:id="16"/>
            <w:r>
              <w:rPr/>
              <w:t>DIESEL</w:t>
            </w:r>
          </w:p>
        </w:tc>
      </w:tr>
    </w:tbl>
    <w:p>
      <w:pPr>
        <w:pStyle w:val="Normal"/>
        <w:spacing w:before="0" w:after="360"/>
        <w:rPr>
          <w:b/>
          <w:b/>
          <w:sz w:val="22"/>
          <w:szCs w:val="22"/>
        </w:rPr>
      </w:pPr>
      <w:r>
        <w:rPr>
          <w:b/>
          <w:sz w:val="22"/>
          <w:szCs w:val="22"/>
        </w:rPr>
      </w:r>
    </w:p>
    <w:p>
      <w:pPr>
        <w:pStyle w:val="Normal"/>
        <w:spacing w:before="0" w:after="360"/>
        <w:ind w:left="360" w:hanging="0"/>
        <w:rPr>
          <w:b/>
          <w:b/>
          <w:sz w:val="22"/>
          <w:szCs w:val="22"/>
        </w:rPr>
      </w:pPr>
      <w:r>
        <w:rPr>
          <w:b/>
          <w:sz w:val="22"/>
          <w:szCs w:val="22"/>
        </w:rPr>
        <w:t>GRUPO 02(Campus Petrolina/IF SERTÃO – PE – UASG 158499)</w:t>
      </w:r>
    </w:p>
    <w:tbl>
      <w:tblPr>
        <w:tblW w:w="8895" w:type="dxa"/>
        <w:jc w:val="left"/>
        <w:tblInd w:w="360" w:type="dxa"/>
        <w:tblCellMar>
          <w:top w:w="0" w:type="dxa"/>
          <w:left w:w="98" w:type="dxa"/>
          <w:bottom w:w="0" w:type="dxa"/>
          <w:right w:w="108" w:type="dxa"/>
        </w:tblCellMar>
        <w:tblLook w:firstRow="0" w:noVBand="1" w:lastRow="0" w:firstColumn="0" w:lastColumn="0" w:noHBand="0" w:val="0400"/>
      </w:tblPr>
      <w:tblGrid>
        <w:gridCol w:w="2648"/>
        <w:gridCol w:w="1519"/>
        <w:gridCol w:w="1224"/>
        <w:gridCol w:w="1594"/>
        <w:gridCol w:w="1910"/>
      </w:tblGrid>
      <w:tr>
        <w:trPr>
          <w:trHeight w:val="673" w:hRule="atLeast"/>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TIPO</w:t>
            </w:r>
          </w:p>
          <w:p>
            <w:pPr>
              <w:pStyle w:val="Normal"/>
              <w:jc w:val="center"/>
              <w:rPr>
                <w:b/>
                <w:b/>
              </w:rPr>
            </w:pPr>
            <w:r>
              <w:rPr>
                <w:b/>
              </w:rPr>
              <w:t>VEÍCULO/EQUIPAMENTO</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MARCA</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PLACA</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ANO/MODELO</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TIPO DE COMBUSTÍVEL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TRATOR</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AGRALE</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2010</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SAVEIRO</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VW</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KHK5131</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2008</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GOL</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VW</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KHM7072</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2006</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SIENA</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FIAT</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KHK5241</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2008</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MICRO-ONIBUS</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COMIL</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KHV8882</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2006</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SPRINTER</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MERCEDES</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NXW1536</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2010</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AMAROK</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VW</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OYP5418</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2014</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S10</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CHEVROLET</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PGU3207</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2014</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ONIBUS</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VOLVO</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PEE9996</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2011</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64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KOMBI</w:t>
            </w:r>
          </w:p>
        </w:tc>
        <w:tc>
          <w:tcPr>
            <w:tcW w:w="151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VW</w:t>
            </w:r>
          </w:p>
        </w:tc>
        <w:tc>
          <w:tcPr>
            <w:tcW w:w="122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KJN7577</w:t>
            </w:r>
          </w:p>
        </w:tc>
        <w:tc>
          <w:tcPr>
            <w:tcW w:w="159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1997</w:t>
            </w:r>
          </w:p>
        </w:tc>
        <w:tc>
          <w:tcPr>
            <w:tcW w:w="191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w:t>
            </w:r>
          </w:p>
        </w:tc>
      </w:tr>
    </w:tbl>
    <w:p>
      <w:pPr>
        <w:pStyle w:val="Normal"/>
        <w:spacing w:before="0" w:after="360"/>
        <w:rPr>
          <w:b/>
          <w:b/>
          <w:sz w:val="22"/>
          <w:szCs w:val="22"/>
        </w:rPr>
      </w:pPr>
      <w:r>
        <w:rPr>
          <w:b/>
          <w:sz w:val="22"/>
          <w:szCs w:val="22"/>
        </w:rPr>
      </w:r>
    </w:p>
    <w:p>
      <w:pPr>
        <w:pStyle w:val="Normal"/>
        <w:widowControl w:val="false"/>
        <w:ind w:left="284" w:right="-197" w:hanging="0"/>
        <w:rPr>
          <w:b/>
          <w:b/>
          <w:sz w:val="22"/>
          <w:szCs w:val="22"/>
        </w:rPr>
      </w:pPr>
      <w:r>
        <w:rPr>
          <w:b/>
          <w:sz w:val="22"/>
          <w:szCs w:val="22"/>
        </w:rPr>
        <w:t xml:space="preserve">GRUPO 03(Campus Petrolina Zona Rural/IF SERTÃO – PE – UASG 158278) </w:t>
      </w:r>
    </w:p>
    <w:p>
      <w:pPr>
        <w:pStyle w:val="Normal"/>
        <w:widowControl w:val="false"/>
        <w:ind w:left="284" w:right="-197" w:hanging="0"/>
        <w:rPr>
          <w:b/>
          <w:b/>
          <w:sz w:val="22"/>
          <w:szCs w:val="22"/>
        </w:rPr>
      </w:pPr>
      <w:r>
        <w:rPr>
          <w:b/>
          <w:sz w:val="22"/>
          <w:szCs w:val="22"/>
        </w:rPr>
      </w:r>
    </w:p>
    <w:tbl>
      <w:tblPr>
        <w:tblW w:w="8820" w:type="dxa"/>
        <w:jc w:val="left"/>
        <w:tblInd w:w="360" w:type="dxa"/>
        <w:tblCellMar>
          <w:top w:w="0" w:type="dxa"/>
          <w:left w:w="98" w:type="dxa"/>
          <w:bottom w:w="0" w:type="dxa"/>
          <w:right w:w="108" w:type="dxa"/>
        </w:tblCellMar>
        <w:tblLook w:firstRow="0" w:noVBand="1" w:lastRow="0" w:firstColumn="0" w:lastColumn="0" w:noHBand="0" w:val="0400"/>
      </w:tblPr>
      <w:tblGrid>
        <w:gridCol w:w="2354"/>
        <w:gridCol w:w="1674"/>
        <w:gridCol w:w="1255"/>
        <w:gridCol w:w="1422"/>
        <w:gridCol w:w="2115"/>
      </w:tblGrid>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MARCA</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PLACA</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ind w:right="-202" w:hanging="0"/>
              <w:jc w:val="center"/>
              <w:rPr>
                <w:b/>
                <w:b/>
                <w:sz w:val="18"/>
                <w:szCs w:val="18"/>
              </w:rPr>
            </w:pPr>
            <w:r>
              <w:rPr>
                <w:b/>
                <w:sz w:val="18"/>
                <w:szCs w:val="18"/>
              </w:rPr>
              <w:t>ANO/MODELO</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TIPO DE COMBUSTÍVEL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CAMINHÃO</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141" w:right="-119" w:hanging="0"/>
              <w:jc w:val="center"/>
              <w:rPr>
                <w:color w:val="000000"/>
              </w:rPr>
            </w:pPr>
            <w:r>
              <w:rPr>
                <w:color w:val="000000"/>
              </w:rPr>
              <w:t>MERCEDES-BENZ</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71" w:hanging="0"/>
              <w:jc w:val="center"/>
              <w:rPr>
                <w:color w:val="000000"/>
              </w:rPr>
            </w:pPr>
            <w:r>
              <w:rPr>
                <w:color w:val="000000"/>
              </w:rPr>
              <w:t>KHD4772</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2009</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1" w:hanging="0"/>
              <w:jc w:val="center"/>
              <w:rPr>
                <w:color w:val="000000"/>
              </w:rPr>
            </w:pPr>
            <w:r>
              <w:rPr>
                <w:color w:val="000000"/>
              </w:rPr>
              <w:t>DIESEL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MICRO-ÔNIBUS</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141" w:right="-224" w:hanging="0"/>
              <w:jc w:val="center"/>
              <w:rPr>
                <w:color w:val="000000"/>
              </w:rPr>
            </w:pPr>
            <w:r>
              <w:rPr>
                <w:color w:val="000000"/>
              </w:rPr>
              <w:t>VOLKSWAGEN</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76" w:hanging="0"/>
              <w:jc w:val="center"/>
              <w:rPr>
                <w:color w:val="000000"/>
              </w:rPr>
            </w:pPr>
            <w:r>
              <w:rPr>
                <w:color w:val="000000"/>
              </w:rPr>
              <w:t>KHV8942</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2005</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1" w:hanging="0"/>
              <w:jc w:val="center"/>
              <w:rPr>
                <w:color w:val="000000"/>
              </w:rPr>
            </w:pPr>
            <w:r>
              <w:rPr>
                <w:color w:val="000000"/>
              </w:rPr>
              <w:t>DIESEL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ÔNIBUS</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3" w:right="-224" w:hanging="0"/>
              <w:jc w:val="center"/>
              <w:rPr>
                <w:color w:val="000000"/>
              </w:rPr>
            </w:pPr>
            <w:r>
              <w:rPr>
                <w:color w:val="000000"/>
              </w:rPr>
              <w:t>VOLVO</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81" w:hanging="0"/>
              <w:jc w:val="center"/>
              <w:rPr>
                <w:color w:val="000000"/>
              </w:rPr>
            </w:pPr>
            <w:r>
              <w:rPr>
                <w:color w:val="000000"/>
              </w:rPr>
              <w:t>PEQ7187</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2011</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1" w:hanging="0"/>
              <w:jc w:val="center"/>
              <w:rPr>
                <w:color w:val="000000"/>
              </w:rPr>
            </w:pPr>
            <w:r>
              <w:rPr>
                <w:color w:val="000000"/>
              </w:rPr>
              <w:t>DIESEL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AMAROCK CD 2.0 16V TDI</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141" w:right="-224" w:hanging="0"/>
              <w:jc w:val="center"/>
              <w:rPr>
                <w:color w:val="000000"/>
              </w:rPr>
            </w:pPr>
            <w:r>
              <w:rPr>
                <w:color w:val="000000"/>
              </w:rPr>
              <w:t>VOLKSWAGEN</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92" w:hanging="0"/>
              <w:jc w:val="center"/>
              <w:rPr>
                <w:color w:val="000000"/>
              </w:rPr>
            </w:pPr>
            <w:r>
              <w:rPr>
                <w:color w:val="000000"/>
              </w:rPr>
              <w:t>PGL7515</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2014</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1" w:hanging="0"/>
              <w:jc w:val="center"/>
              <w:rPr>
                <w:color w:val="000000"/>
              </w:rPr>
            </w:pPr>
            <w:r>
              <w:rPr>
                <w:color w:val="000000"/>
              </w:rPr>
              <w:t>DIESEL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SIENA ELX 1.0 8V</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1" w:right="-224" w:hanging="0"/>
              <w:jc w:val="center"/>
              <w:rPr>
                <w:color w:val="000000"/>
              </w:rPr>
            </w:pPr>
            <w:r>
              <w:rPr>
                <w:color w:val="000000"/>
              </w:rPr>
              <w:t>FIAT</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83" w:hanging="0"/>
              <w:jc w:val="center"/>
              <w:rPr>
                <w:color w:val="000000"/>
              </w:rPr>
            </w:pPr>
            <w:r>
              <w:rPr>
                <w:color w:val="000000"/>
              </w:rPr>
              <w:t>KHK0141</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2007/2008</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0" w:hanging="0"/>
              <w:jc w:val="center"/>
              <w:rPr>
                <w:color w:val="000000"/>
              </w:rPr>
            </w:pPr>
            <w:r>
              <w:rPr>
                <w:color w:val="000000"/>
              </w:rPr>
              <w:t>GASOLINA/ÁLCOOL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SIENA FIRE 1.4 8V</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1" w:right="-224" w:hanging="0"/>
              <w:jc w:val="center"/>
              <w:rPr>
                <w:color w:val="000000"/>
              </w:rPr>
            </w:pPr>
            <w:r>
              <w:rPr>
                <w:color w:val="000000"/>
              </w:rPr>
              <w:t>FIAT</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226" w:hanging="0"/>
              <w:jc w:val="center"/>
              <w:rPr>
                <w:color w:val="000000"/>
              </w:rPr>
            </w:pPr>
            <w:r>
              <w:rPr>
                <w:color w:val="000000"/>
              </w:rPr>
              <w:t>KIC0041</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2008/2009</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0" w:hanging="0"/>
              <w:jc w:val="center"/>
              <w:rPr>
                <w:color w:val="000000"/>
              </w:rPr>
            </w:pPr>
            <w:r>
              <w:rPr>
                <w:color w:val="000000"/>
              </w:rPr>
              <w:t>GASOLINA/ÁLCOOL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GOL 1.6 8V</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135" w:right="-224" w:hanging="0"/>
              <w:jc w:val="center"/>
              <w:rPr>
                <w:color w:val="000000"/>
              </w:rPr>
            </w:pPr>
            <w:r>
              <w:rPr>
                <w:color w:val="000000"/>
              </w:rPr>
              <w:t>VOLKSWAGEN</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90" w:hanging="0"/>
              <w:jc w:val="center"/>
              <w:rPr>
                <w:color w:val="000000"/>
              </w:rPr>
            </w:pPr>
            <w:r>
              <w:rPr>
                <w:color w:val="000000"/>
              </w:rPr>
              <w:t>KHS5861</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2008</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0" w:hanging="0"/>
              <w:jc w:val="center"/>
              <w:rPr>
                <w:color w:val="000000"/>
              </w:rPr>
            </w:pPr>
            <w:r>
              <w:rPr>
                <w:color w:val="000000"/>
              </w:rPr>
              <w:t>GASOLINA/ÁLCOOL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ETIOS 1.5 16V (1)</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69" w:right="-224" w:hanging="0"/>
              <w:jc w:val="center"/>
              <w:rPr>
                <w:color w:val="000000"/>
              </w:rPr>
            </w:pPr>
            <w:r>
              <w:rPr>
                <w:color w:val="000000"/>
              </w:rPr>
              <w:t>TOYOTA</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43" w:hanging="0"/>
              <w:jc w:val="center"/>
              <w:rPr>
                <w:color w:val="000000"/>
              </w:rPr>
            </w:pPr>
            <w:r>
              <w:rPr>
                <w:color w:val="000000"/>
              </w:rPr>
              <w:t>OYN 0299</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2014</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0" w:hanging="0"/>
              <w:jc w:val="center"/>
              <w:rPr>
                <w:color w:val="000000"/>
              </w:rPr>
            </w:pPr>
            <w:r>
              <w:rPr>
                <w:color w:val="000000"/>
              </w:rPr>
              <w:t>GASOLINA/ÁLCOOL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55" w:after="0"/>
              <w:ind w:left="54" w:hanging="0"/>
              <w:jc w:val="center"/>
              <w:rPr>
                <w:color w:val="000000"/>
              </w:rPr>
            </w:pPr>
            <w:r>
              <w:rPr>
                <w:color w:val="000000"/>
              </w:rPr>
              <w:t>ETIOS 1.5 16V (2)</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55" w:after="0"/>
              <w:ind w:left="69" w:right="-224" w:hanging="0"/>
              <w:jc w:val="center"/>
              <w:rPr>
                <w:color w:val="000000"/>
              </w:rPr>
            </w:pPr>
            <w:r>
              <w:rPr>
                <w:color w:val="000000"/>
              </w:rPr>
              <w:t>TOYOTA</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55" w:after="0"/>
              <w:ind w:right="167" w:hanging="0"/>
              <w:jc w:val="center"/>
              <w:rPr>
                <w:color w:val="000000"/>
              </w:rPr>
            </w:pPr>
            <w:r>
              <w:rPr>
                <w:color w:val="000000"/>
              </w:rPr>
              <w:t>OYN0339</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55" w:after="0"/>
              <w:ind w:left="88" w:right="73" w:hanging="0"/>
              <w:jc w:val="center"/>
              <w:rPr>
                <w:color w:val="000000"/>
              </w:rPr>
            </w:pPr>
            <w:r>
              <w:rPr>
                <w:color w:val="000000"/>
              </w:rPr>
              <w:t>2014</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55" w:after="0"/>
              <w:ind w:left="33" w:right="20" w:hanging="0"/>
              <w:jc w:val="center"/>
              <w:rPr>
                <w:color w:val="000000"/>
              </w:rPr>
            </w:pPr>
            <w:r>
              <w:rPr>
                <w:color w:val="000000"/>
              </w:rPr>
              <w:t>GASOLINA/ÁLCOOL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SAVEIRO 1.6 8V</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1" w:right="-224" w:hanging="0"/>
              <w:jc w:val="center"/>
              <w:rPr>
                <w:color w:val="000000"/>
              </w:rPr>
            </w:pPr>
            <w:r>
              <w:rPr>
                <w:color w:val="000000"/>
              </w:rPr>
              <w:t>VOLKSWAGEN</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92" w:hanging="0"/>
              <w:jc w:val="center"/>
              <w:rPr>
                <w:color w:val="000000"/>
              </w:rPr>
            </w:pPr>
            <w:r>
              <w:rPr>
                <w:color w:val="000000"/>
              </w:rPr>
              <w:t>PGL7585</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2013/2014</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0" w:hanging="0"/>
              <w:jc w:val="center"/>
              <w:rPr>
                <w:color w:val="000000"/>
              </w:rPr>
            </w:pPr>
            <w:r>
              <w:rPr>
                <w:color w:val="000000"/>
              </w:rPr>
              <w:t>GASOLINA/ÁLCOOL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54" w:hanging="0"/>
              <w:jc w:val="center"/>
              <w:rPr>
                <w:color w:val="000000"/>
              </w:rPr>
            </w:pPr>
            <w:r>
              <w:rPr>
                <w:color w:val="000000"/>
              </w:rPr>
              <w:t>MOTO TORNADO XR 250</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1" w:right="-224" w:hanging="0"/>
              <w:jc w:val="center"/>
              <w:rPr>
                <w:color w:val="000000"/>
              </w:rPr>
            </w:pPr>
            <w:r>
              <w:rPr>
                <w:color w:val="000000"/>
              </w:rPr>
              <w:t>HONDA</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226" w:hanging="0"/>
              <w:jc w:val="center"/>
              <w:rPr>
                <w:color w:val="000000"/>
              </w:rPr>
            </w:pPr>
            <w:r>
              <w:rPr>
                <w:color w:val="000000"/>
              </w:rPr>
              <w:t>KIC7861</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2008</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2" w:hanging="0"/>
              <w:jc w:val="center"/>
              <w:rPr>
                <w:color w:val="000000"/>
              </w:rPr>
            </w:pPr>
            <w:r>
              <w:rPr>
                <w:color w:val="000000"/>
              </w:rPr>
              <w:t>GASOLINA</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941" w:right="935" w:hanging="941"/>
              <w:jc w:val="center"/>
              <w:rPr>
                <w:color w:val="000000"/>
              </w:rPr>
            </w:pPr>
            <w:r>
              <w:rPr>
                <w:color w:val="000000"/>
              </w:rPr>
              <w:t xml:space="preserve">TRATOR </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2" w:right="-224" w:hanging="0"/>
              <w:jc w:val="center"/>
              <w:rPr>
                <w:color w:val="000000"/>
              </w:rPr>
            </w:pPr>
            <w:r>
              <w:rPr>
                <w:color w:val="000000"/>
              </w:rPr>
              <w:t>VALTRA</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86" w:hanging="0"/>
              <w:jc w:val="center"/>
              <w:rPr>
                <w:color w:val="000000"/>
              </w:rPr>
            </w:pPr>
            <w:r>
              <w:rPr>
                <w:color w:val="000000"/>
              </w:rPr>
              <w:t>TRA1036</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2006</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1" w:hanging="0"/>
              <w:jc w:val="center"/>
              <w:rPr>
                <w:color w:val="000000"/>
              </w:rPr>
            </w:pPr>
            <w:r>
              <w:rPr>
                <w:color w:val="000000"/>
              </w:rPr>
              <w:t>DIESEL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941" w:right="935" w:hanging="941"/>
              <w:jc w:val="center"/>
              <w:rPr>
                <w:color w:val="000000"/>
              </w:rPr>
            </w:pPr>
            <w:r>
              <w:rPr>
                <w:color w:val="000000"/>
              </w:rPr>
              <w:t xml:space="preserve">TRATOR </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2" w:right="-224" w:hanging="0"/>
              <w:jc w:val="center"/>
              <w:rPr>
                <w:color w:val="000000"/>
              </w:rPr>
            </w:pPr>
            <w:r>
              <w:rPr>
                <w:color w:val="000000"/>
              </w:rPr>
              <w:t>VALTRA</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87" w:hanging="0"/>
              <w:jc w:val="center"/>
              <w:rPr>
                <w:color w:val="000000"/>
              </w:rPr>
            </w:pPr>
            <w:r>
              <w:rPr>
                <w:color w:val="000000"/>
              </w:rPr>
              <w:t>TRA1812</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2013</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1" w:hanging="0"/>
              <w:jc w:val="center"/>
              <w:rPr>
                <w:color w:val="000000"/>
              </w:rPr>
            </w:pPr>
            <w:r>
              <w:rPr>
                <w:color w:val="000000"/>
              </w:rPr>
              <w:t>DIESEL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941" w:right="935" w:hanging="941"/>
              <w:jc w:val="center"/>
              <w:rPr>
                <w:color w:val="000000"/>
              </w:rPr>
            </w:pPr>
            <w:r>
              <w:rPr>
                <w:color w:val="000000"/>
              </w:rPr>
              <w:t xml:space="preserve">TRATOR </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69" w:right="-224" w:hanging="0"/>
              <w:jc w:val="center"/>
              <w:rPr>
                <w:color w:val="000000"/>
              </w:rPr>
            </w:pPr>
            <w:r>
              <w:rPr>
                <w:color w:val="000000"/>
              </w:rPr>
              <w:t>AGRALE</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86" w:hanging="0"/>
              <w:jc w:val="center"/>
              <w:rPr>
                <w:color w:val="000000"/>
              </w:rPr>
            </w:pPr>
            <w:r>
              <w:rPr>
                <w:color w:val="000000"/>
              </w:rPr>
              <w:t>TRA1291</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2009</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1" w:hanging="0"/>
              <w:jc w:val="center"/>
              <w:rPr>
                <w:color w:val="000000"/>
              </w:rPr>
            </w:pPr>
            <w:r>
              <w:rPr>
                <w:color w:val="000000"/>
              </w:rPr>
              <w:t>DIESEL</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283" w:hanging="645"/>
              <w:jc w:val="center"/>
              <w:rPr>
                <w:color w:val="000000"/>
              </w:rPr>
            </w:pPr>
            <w:r>
              <w:rPr>
                <w:color w:val="000000"/>
              </w:rPr>
              <w:t xml:space="preserve">ROÇADEIRA </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0" w:right="-224" w:hanging="0"/>
              <w:jc w:val="center"/>
              <w:rPr>
                <w:color w:val="000000"/>
              </w:rPr>
            </w:pPr>
            <w:r>
              <w:rPr>
                <w:color w:val="000000"/>
              </w:rPr>
              <w:t>STIHL</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74" w:hanging="0"/>
              <w:jc w:val="center"/>
              <w:rPr>
                <w:color w:val="000000"/>
              </w:rPr>
            </w:pPr>
            <w:r>
              <w:rPr>
                <w:color w:val="000000"/>
              </w:rPr>
              <w:t>ROC1086</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2012</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2" w:hanging="0"/>
              <w:jc w:val="center"/>
              <w:rPr>
                <w:color w:val="000000"/>
              </w:rPr>
            </w:pPr>
            <w:r>
              <w:rPr>
                <w:color w:val="000000"/>
              </w:rPr>
              <w:t>GASOLINA</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85" w:hanging="926"/>
              <w:jc w:val="center"/>
              <w:rPr>
                <w:color w:val="000000"/>
              </w:rPr>
            </w:pPr>
            <w:r>
              <w:rPr>
                <w:color w:val="000000"/>
              </w:rPr>
              <w:t>ROÇADEIRA 2</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0" w:right="-224" w:hanging="0"/>
              <w:jc w:val="center"/>
              <w:rPr>
                <w:color w:val="000000"/>
              </w:rPr>
            </w:pPr>
            <w:r>
              <w:rPr>
                <w:color w:val="000000"/>
              </w:rPr>
              <w:t>STIHL</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76" w:hanging="0"/>
              <w:jc w:val="center"/>
              <w:rPr>
                <w:color w:val="000000"/>
              </w:rPr>
            </w:pPr>
            <w:r>
              <w:rPr>
                <w:color w:val="000000"/>
              </w:rPr>
              <w:t>ROC1087</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2012</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2" w:hanging="0"/>
              <w:jc w:val="center"/>
              <w:rPr>
                <w:color w:val="000000"/>
              </w:rPr>
            </w:pPr>
            <w:r>
              <w:rPr>
                <w:color w:val="000000"/>
              </w:rPr>
              <w:t>GASOLINA</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85" w:hanging="785"/>
              <w:jc w:val="center"/>
              <w:rPr>
                <w:color w:val="000000"/>
              </w:rPr>
            </w:pPr>
            <w:r>
              <w:rPr>
                <w:color w:val="000000"/>
              </w:rPr>
              <w:t>ROÇADEIRA 3</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70" w:right="-224" w:hanging="0"/>
              <w:jc w:val="center"/>
              <w:rPr>
                <w:color w:val="000000"/>
              </w:rPr>
            </w:pPr>
            <w:r>
              <w:rPr>
                <w:color w:val="000000"/>
              </w:rPr>
              <w:t>STIHL</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76" w:hanging="0"/>
              <w:jc w:val="center"/>
              <w:rPr>
                <w:color w:val="000000"/>
              </w:rPr>
            </w:pPr>
            <w:r>
              <w:rPr>
                <w:color w:val="000000"/>
              </w:rPr>
              <w:t>ROC1071</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2004</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2" w:hanging="0"/>
              <w:jc w:val="center"/>
              <w:rPr>
                <w:color w:val="000000"/>
              </w:rPr>
            </w:pPr>
            <w:r>
              <w:rPr>
                <w:color w:val="000000"/>
              </w:rPr>
              <w:t>GASOLINA</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141" w:hanging="690"/>
              <w:jc w:val="center"/>
              <w:rPr>
                <w:color w:val="000000"/>
              </w:rPr>
            </w:pPr>
            <w:r>
              <w:rPr>
                <w:color w:val="000000"/>
              </w:rPr>
              <w:t>MOTOSERRA</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69" w:right="-224" w:hanging="0"/>
              <w:jc w:val="center"/>
              <w:rPr>
                <w:color w:val="000000"/>
              </w:rPr>
            </w:pPr>
            <w:r>
              <w:rPr>
                <w:color w:val="000000"/>
              </w:rPr>
              <w:t>HUQSVARNA</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19" w:hanging="0"/>
              <w:jc w:val="center"/>
              <w:rPr>
                <w:color w:val="000000"/>
              </w:rPr>
            </w:pPr>
            <w:r>
              <w:rPr>
                <w:color w:val="000000"/>
              </w:rPr>
              <w:t>MOT 1385</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2008</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2" w:hanging="0"/>
              <w:jc w:val="center"/>
              <w:rPr>
                <w:color w:val="000000"/>
              </w:rPr>
            </w:pPr>
            <w:r>
              <w:rPr>
                <w:color w:val="000000"/>
              </w:rPr>
              <w:t>GASOLINA</w:t>
            </w:r>
          </w:p>
        </w:tc>
      </w:tr>
      <w:tr>
        <w:trPr/>
        <w:tc>
          <w:tcPr>
            <w:tcW w:w="23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141" w:hanging="690"/>
              <w:jc w:val="center"/>
              <w:rPr>
                <w:color w:val="000000"/>
              </w:rPr>
            </w:pPr>
            <w:r>
              <w:rPr>
                <w:color w:val="000000"/>
              </w:rPr>
              <w:t xml:space="preserve">PIVÔ CENTRAL </w:t>
            </w:r>
          </w:p>
        </w:tc>
        <w:tc>
          <w:tcPr>
            <w:tcW w:w="167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69" w:right="-224" w:hanging="0"/>
              <w:jc w:val="center"/>
              <w:rPr>
                <w:color w:val="000000"/>
              </w:rPr>
            </w:pPr>
            <w:r>
              <w:rPr>
                <w:color w:val="000000"/>
              </w:rPr>
              <w:t>-----</w:t>
            </w:r>
          </w:p>
        </w:tc>
        <w:tc>
          <w:tcPr>
            <w:tcW w:w="12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right="119" w:hanging="0"/>
              <w:jc w:val="center"/>
              <w:rPr>
                <w:color w:val="000000"/>
              </w:rPr>
            </w:pPr>
            <w:r>
              <w:rPr>
                <w:color w:val="000000"/>
              </w:rPr>
              <w:t>-----</w:t>
            </w:r>
          </w:p>
        </w:tc>
        <w:tc>
          <w:tcPr>
            <w:tcW w:w="142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88" w:right="73" w:hanging="0"/>
              <w:jc w:val="center"/>
              <w:rPr>
                <w:color w:val="000000"/>
              </w:rPr>
            </w:pPr>
            <w:r>
              <w:rPr>
                <w:color w:val="000000"/>
              </w:rPr>
              <w:t>-----</w:t>
            </w:r>
          </w:p>
        </w:tc>
        <w:tc>
          <w:tcPr>
            <w:tcW w:w="211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left="33" w:right="22" w:hanging="0"/>
              <w:jc w:val="center"/>
              <w:rPr>
                <w:color w:val="000000"/>
              </w:rPr>
            </w:pPr>
            <w:r>
              <w:rPr>
                <w:color w:val="000000"/>
              </w:rPr>
              <w:t>-----</w:t>
            </w:r>
          </w:p>
        </w:tc>
      </w:tr>
    </w:tbl>
    <w:p>
      <w:pPr>
        <w:pStyle w:val="Normal"/>
        <w:widowControl w:val="false"/>
        <w:ind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t xml:space="preserve">        </w:t>
      </w:r>
      <w:r>
        <w:rPr>
          <w:b/>
          <w:sz w:val="22"/>
          <w:szCs w:val="22"/>
        </w:rPr>
        <w:t xml:space="preserve">GRUPO 04(Campus Floresta/IF SERTÃO – PE – UASG 158500) </w:t>
      </w:r>
    </w:p>
    <w:p>
      <w:pPr>
        <w:pStyle w:val="Normal"/>
        <w:widowControl w:val="false"/>
        <w:ind w:left="-245" w:right="-197" w:hanging="0"/>
        <w:rPr>
          <w:b/>
          <w:b/>
          <w:sz w:val="22"/>
          <w:szCs w:val="22"/>
        </w:rPr>
      </w:pPr>
      <w:r>
        <w:rPr>
          <w:b/>
          <w:sz w:val="22"/>
          <w:szCs w:val="22"/>
        </w:rPr>
      </w:r>
    </w:p>
    <w:tbl>
      <w:tblPr>
        <w:tblW w:w="8805" w:type="dxa"/>
        <w:jc w:val="left"/>
        <w:tblInd w:w="360" w:type="dxa"/>
        <w:tblCellMar>
          <w:top w:w="0" w:type="dxa"/>
          <w:left w:w="98" w:type="dxa"/>
          <w:bottom w:w="0" w:type="dxa"/>
          <w:right w:w="108" w:type="dxa"/>
        </w:tblCellMar>
        <w:tblLook w:firstRow="0" w:noVBand="1" w:lastRow="0" w:firstColumn="0" w:lastColumn="0" w:noHBand="0" w:val="0400"/>
      </w:tblPr>
      <w:tblGrid>
        <w:gridCol w:w="2407"/>
        <w:gridCol w:w="1739"/>
        <w:gridCol w:w="1270"/>
        <w:gridCol w:w="1468"/>
        <w:gridCol w:w="1921"/>
      </w:tblGrid>
      <w:tr>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MARCA</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PLACA</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ANO/MODELO</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TIPO DE COMBUSTÍVEL</w:t>
            </w:r>
          </w:p>
        </w:tc>
      </w:tr>
      <w:tr>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AMAROK</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t>VOLKSWAGEN</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OYP 9098</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2014</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r>
        <w:trPr>
          <w:trHeight w:val="835" w:hRule="atLeast"/>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ONIBUS</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MERCEDES BENZ</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PER 1738</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2010</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DAILY</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IVECO</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KLU 5718</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2008</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S10</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CHEVROLET</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PGP 3699</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2013/2014</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GASOLINA</w:t>
            </w:r>
          </w:p>
        </w:tc>
      </w:tr>
      <w:tr>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PALIO</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FIAT</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PFQ 2153</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2010/2011</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GASOLINA</w:t>
            </w:r>
          </w:p>
        </w:tc>
      </w:tr>
      <w:tr>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SIENA</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FIAT</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KHK 5281</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2007/2008</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GASOLINA</w:t>
            </w:r>
          </w:p>
        </w:tc>
      </w:tr>
      <w:tr>
        <w:trPr/>
        <w:tc>
          <w:tcPr>
            <w:tcW w:w="24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TRATOR</w:t>
            </w:r>
          </w:p>
        </w:tc>
        <w:tc>
          <w:tcPr>
            <w:tcW w:w="173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 xml:space="preserve">NEW </w:t>
            </w:r>
            <w:r>
              <w:rPr/>
              <w:t>HOLLAND</w:t>
            </w:r>
          </w:p>
        </w:tc>
        <w:tc>
          <w:tcPr>
            <w:tcW w:w="127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w:t>
            </w:r>
          </w:p>
        </w:tc>
        <w:tc>
          <w:tcPr>
            <w:tcW w:w="1468"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2008</w:t>
            </w:r>
          </w:p>
        </w:tc>
        <w:tc>
          <w:tcPr>
            <w:tcW w:w="192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ind w:left="284" w:hanging="0"/>
        <w:rPr>
          <w:b/>
          <w:b/>
          <w:sz w:val="22"/>
          <w:szCs w:val="22"/>
        </w:rPr>
      </w:pPr>
      <w:r>
        <w:rPr>
          <w:b/>
          <w:sz w:val="22"/>
          <w:szCs w:val="22"/>
        </w:rPr>
        <w:t>GRUPO 05(Campus Salgueiro/IF SERTÃO – PE – UASG 158568)</w:t>
      </w:r>
    </w:p>
    <w:p>
      <w:pPr>
        <w:pStyle w:val="Normal"/>
        <w:rPr>
          <w:b/>
          <w:b/>
          <w:sz w:val="22"/>
          <w:szCs w:val="22"/>
        </w:rPr>
      </w:pPr>
      <w:r>
        <w:rPr>
          <w:b/>
          <w:sz w:val="22"/>
          <w:szCs w:val="22"/>
        </w:rPr>
      </w:r>
    </w:p>
    <w:tbl>
      <w:tblPr>
        <w:tblW w:w="8745" w:type="dxa"/>
        <w:jc w:val="left"/>
        <w:tblInd w:w="360" w:type="dxa"/>
        <w:tblCellMar>
          <w:top w:w="0" w:type="dxa"/>
          <w:left w:w="98" w:type="dxa"/>
          <w:bottom w:w="0" w:type="dxa"/>
          <w:right w:w="108" w:type="dxa"/>
        </w:tblCellMar>
        <w:tblLook w:firstRow="0" w:noVBand="1" w:lastRow="0" w:firstColumn="0" w:lastColumn="0" w:noHBand="0" w:val="0400"/>
      </w:tblPr>
      <w:tblGrid>
        <w:gridCol w:w="2404"/>
        <w:gridCol w:w="1595"/>
        <w:gridCol w:w="1129"/>
        <w:gridCol w:w="1492"/>
        <w:gridCol w:w="2125"/>
      </w:tblGrid>
      <w:tr>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MARCA</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PLACA</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ANO/MODELO</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TIPO DE COMBUSTÍVEL</w:t>
            </w:r>
          </w:p>
        </w:tc>
      </w:tr>
      <w:tr>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ÔNIBUS</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VOLVO M POLLO VIAGGIO</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PGI -1767</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2012/2012</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r>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SPRINTER</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MERCEDEZ BENZ</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NXV-0017</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2010/2010</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r>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S - 10</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CHEVROLET LT FD2</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PGN -6439</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2013/2014</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ALCOOL/GASOLINA</w:t>
            </w:r>
          </w:p>
        </w:tc>
      </w:tr>
      <w:tr>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ETIOS HB</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TOYOTA</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OYY - 8340</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2014/2014</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ALCOOL/GASOLINA</w:t>
            </w:r>
          </w:p>
        </w:tc>
      </w:tr>
      <w:tr>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ETIOS SD</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TOYOTA</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PCY - 5212</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2014/2015</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ALCOOL/GASOLINA</w:t>
            </w:r>
          </w:p>
        </w:tc>
      </w:tr>
      <w:tr>
        <w:trPr>
          <w:trHeight w:val="363" w:hRule="atLeast"/>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ETIOS SD</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TOYOTA</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pPr>
            <w:r>
              <w:rPr/>
              <w:t>PCY -5282</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2014/2015</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ALCOOL/GASOLINA</w:t>
            </w:r>
          </w:p>
        </w:tc>
      </w:tr>
      <w:tr>
        <w:trPr/>
        <w:tc>
          <w:tcPr>
            <w:tcW w:w="2404"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TRATOR</w:t>
            </w:r>
          </w:p>
        </w:tc>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NEW HOLLAND</w:t>
            </w:r>
          </w:p>
        </w:tc>
        <w:tc>
          <w:tcPr>
            <w:tcW w:w="112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IFS - 2017</w:t>
            </w:r>
          </w:p>
        </w:tc>
        <w:tc>
          <w:tcPr>
            <w:tcW w:w="149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1999</w:t>
            </w:r>
          </w:p>
        </w:tc>
        <w:tc>
          <w:tcPr>
            <w:tcW w:w="212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bl>
    <w:p>
      <w:pPr>
        <w:pStyle w:val="Normal"/>
        <w:widowControl w:val="false"/>
        <w:ind w:left="-245"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r>
    </w:p>
    <w:p>
      <w:pPr>
        <w:pStyle w:val="Normal"/>
        <w:widowControl w:val="false"/>
        <w:ind w:left="142" w:right="-197" w:hanging="0"/>
        <w:rPr>
          <w:b/>
          <w:b/>
          <w:sz w:val="22"/>
          <w:szCs w:val="22"/>
        </w:rPr>
      </w:pPr>
      <w:r>
        <w:rPr>
          <w:b/>
          <w:sz w:val="22"/>
          <w:szCs w:val="22"/>
        </w:rPr>
        <w:t>GRUPO 06(Campus Ouricuri/IF SERTÃO – PE – UASG 158570)</w:t>
      </w:r>
    </w:p>
    <w:p>
      <w:pPr>
        <w:pStyle w:val="Normal"/>
        <w:widowControl w:val="false"/>
        <w:ind w:left="142" w:right="-197" w:hanging="0"/>
        <w:rPr>
          <w:b/>
          <w:b/>
          <w:sz w:val="22"/>
          <w:szCs w:val="22"/>
        </w:rPr>
      </w:pPr>
      <w:r>
        <w:rPr>
          <w:b/>
          <w:sz w:val="22"/>
          <w:szCs w:val="22"/>
        </w:rPr>
      </w:r>
    </w:p>
    <w:tbl>
      <w:tblPr>
        <w:tblW w:w="8835" w:type="dxa"/>
        <w:jc w:val="left"/>
        <w:tblInd w:w="360" w:type="dxa"/>
        <w:tblCellMar>
          <w:top w:w="0" w:type="dxa"/>
          <w:left w:w="98" w:type="dxa"/>
          <w:bottom w:w="0" w:type="dxa"/>
          <w:right w:w="108" w:type="dxa"/>
        </w:tblCellMar>
        <w:tblLook w:firstRow="0" w:noVBand="1" w:lastRow="0" w:firstColumn="0" w:lastColumn="0" w:noHBand="0" w:val="0400"/>
      </w:tblPr>
      <w:tblGrid>
        <w:gridCol w:w="2646"/>
        <w:gridCol w:w="1471"/>
        <w:gridCol w:w="1306"/>
        <w:gridCol w:w="1607"/>
        <w:gridCol w:w="1805"/>
      </w:tblGrid>
      <w:tr>
        <w:trPr/>
        <w:tc>
          <w:tcPr>
            <w:tcW w:w="264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TIPO</w:t>
            </w:r>
          </w:p>
          <w:p>
            <w:pPr>
              <w:pStyle w:val="Normal"/>
              <w:spacing w:before="0" w:after="360"/>
              <w:jc w:val="center"/>
              <w:rPr>
                <w:b/>
                <w:b/>
              </w:rPr>
            </w:pPr>
            <w:r>
              <w:rPr>
                <w:b/>
              </w:rPr>
              <w:t>VEÍCULO/EQUIPAMENTO</w:t>
            </w:r>
          </w:p>
        </w:tc>
        <w:tc>
          <w:tcPr>
            <w:tcW w:w="147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MARCA</w:t>
            </w:r>
          </w:p>
        </w:tc>
        <w:tc>
          <w:tcPr>
            <w:tcW w:w="1306"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PLACA</w:t>
            </w:r>
          </w:p>
        </w:tc>
        <w:tc>
          <w:tcPr>
            <w:tcW w:w="1607"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ANO/MODELO</w:t>
            </w:r>
          </w:p>
        </w:tc>
        <w:tc>
          <w:tcPr>
            <w:tcW w:w="1805"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b/>
              </w:rPr>
              <w:t>TIPO DE COMBUSTÍVEL</w:t>
            </w:r>
          </w:p>
        </w:tc>
      </w:tr>
      <w:tr>
        <w:trPr/>
        <w:tc>
          <w:tcPr>
            <w:tcW w:w="264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ÔNIBUS</w:t>
            </w:r>
          </w:p>
        </w:tc>
        <w:tc>
          <w:tcPr>
            <w:tcW w:w="147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VOLVO</w:t>
            </w:r>
          </w:p>
        </w:tc>
        <w:tc>
          <w:tcPr>
            <w:tcW w:w="130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PFR 7676</w:t>
            </w:r>
          </w:p>
        </w:tc>
        <w:tc>
          <w:tcPr>
            <w:tcW w:w="16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2012</w:t>
            </w:r>
          </w:p>
        </w:tc>
        <w:tc>
          <w:tcPr>
            <w:tcW w:w="180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r>
        <w:trPr/>
        <w:tc>
          <w:tcPr>
            <w:tcW w:w="264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VAN</w:t>
            </w:r>
          </w:p>
        </w:tc>
        <w:tc>
          <w:tcPr>
            <w:tcW w:w="147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CITROEN</w:t>
            </w:r>
          </w:p>
        </w:tc>
        <w:tc>
          <w:tcPr>
            <w:tcW w:w="130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PEU 6992</w:t>
            </w:r>
          </w:p>
        </w:tc>
        <w:tc>
          <w:tcPr>
            <w:tcW w:w="16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2012</w:t>
            </w:r>
          </w:p>
        </w:tc>
        <w:tc>
          <w:tcPr>
            <w:tcW w:w="180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r>
        <w:trPr/>
        <w:tc>
          <w:tcPr>
            <w:tcW w:w="264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RANGER</w:t>
            </w:r>
          </w:p>
        </w:tc>
        <w:tc>
          <w:tcPr>
            <w:tcW w:w="147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FORD</w:t>
            </w:r>
          </w:p>
        </w:tc>
        <w:tc>
          <w:tcPr>
            <w:tcW w:w="130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KKK 3819</w:t>
            </w:r>
          </w:p>
        </w:tc>
        <w:tc>
          <w:tcPr>
            <w:tcW w:w="16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2009</w:t>
            </w:r>
          </w:p>
        </w:tc>
        <w:tc>
          <w:tcPr>
            <w:tcW w:w="180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r>
        <w:trPr/>
        <w:tc>
          <w:tcPr>
            <w:tcW w:w="264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COURIER</w:t>
            </w:r>
          </w:p>
        </w:tc>
        <w:tc>
          <w:tcPr>
            <w:tcW w:w="147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FORD</w:t>
            </w:r>
          </w:p>
        </w:tc>
        <w:tc>
          <w:tcPr>
            <w:tcW w:w="130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KGD 0444</w:t>
            </w:r>
          </w:p>
        </w:tc>
        <w:tc>
          <w:tcPr>
            <w:tcW w:w="16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2010</w:t>
            </w:r>
          </w:p>
        </w:tc>
        <w:tc>
          <w:tcPr>
            <w:tcW w:w="180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GASOLINA</w:t>
            </w:r>
          </w:p>
        </w:tc>
      </w:tr>
      <w:tr>
        <w:trPr/>
        <w:tc>
          <w:tcPr>
            <w:tcW w:w="264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FIESTA</w:t>
            </w:r>
          </w:p>
        </w:tc>
        <w:tc>
          <w:tcPr>
            <w:tcW w:w="147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FORD</w:t>
            </w:r>
          </w:p>
        </w:tc>
        <w:tc>
          <w:tcPr>
            <w:tcW w:w="130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KIG 3819</w:t>
            </w:r>
          </w:p>
        </w:tc>
        <w:tc>
          <w:tcPr>
            <w:tcW w:w="16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2010</w:t>
            </w:r>
          </w:p>
        </w:tc>
        <w:tc>
          <w:tcPr>
            <w:tcW w:w="180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GASOLINA</w:t>
            </w:r>
          </w:p>
        </w:tc>
      </w:tr>
      <w:tr>
        <w:trPr/>
        <w:tc>
          <w:tcPr>
            <w:tcW w:w="264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TRATOR</w:t>
            </w:r>
          </w:p>
        </w:tc>
        <w:tc>
          <w:tcPr>
            <w:tcW w:w="1471"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NEW HOLLAND</w:t>
            </w:r>
          </w:p>
        </w:tc>
        <w:tc>
          <w:tcPr>
            <w:tcW w:w="1306"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w:t>
            </w:r>
          </w:p>
        </w:tc>
        <w:tc>
          <w:tcPr>
            <w:tcW w:w="160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2012</w:t>
            </w:r>
          </w:p>
        </w:tc>
        <w:tc>
          <w:tcPr>
            <w:tcW w:w="1805"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348" w:before="0" w:after="140"/>
              <w:jc w:val="center"/>
              <w:rPr>
                <w:color w:val="000000"/>
              </w:rPr>
            </w:pPr>
            <w:r>
              <w:rPr>
                <w:color w:val="000000"/>
              </w:rPr>
              <w:t>DIESEL</w:t>
            </w:r>
          </w:p>
        </w:tc>
      </w:tr>
    </w:tbl>
    <w:p>
      <w:pPr>
        <w:pStyle w:val="Normal"/>
        <w:ind w:left="284" w:hanging="0"/>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ind w:left="284" w:hanging="0"/>
        <w:rPr>
          <w:b/>
          <w:b/>
          <w:sz w:val="22"/>
          <w:szCs w:val="22"/>
        </w:rPr>
      </w:pPr>
      <w:r>
        <w:rPr>
          <w:b/>
          <w:sz w:val="22"/>
          <w:szCs w:val="22"/>
        </w:rPr>
      </w:r>
    </w:p>
    <w:p>
      <w:pPr>
        <w:pStyle w:val="Normal"/>
        <w:ind w:left="284" w:hanging="0"/>
        <w:rPr>
          <w:b/>
          <w:b/>
          <w:sz w:val="22"/>
          <w:szCs w:val="22"/>
        </w:rPr>
      </w:pPr>
      <w:r>
        <w:rPr>
          <w:b/>
          <w:sz w:val="22"/>
          <w:szCs w:val="22"/>
        </w:rPr>
      </w:r>
    </w:p>
    <w:p>
      <w:pPr>
        <w:pStyle w:val="Normal"/>
        <w:ind w:left="284" w:hanging="0"/>
        <w:rPr>
          <w:b/>
          <w:b/>
          <w:sz w:val="22"/>
          <w:szCs w:val="22"/>
        </w:rPr>
      </w:pPr>
      <w:r>
        <w:rPr>
          <w:b/>
          <w:sz w:val="22"/>
          <w:szCs w:val="22"/>
        </w:rPr>
        <w:t>GRUPO 07(Campus Santa Maria/IF SERTÃO – PE – UASG 158740)</w:t>
      </w:r>
    </w:p>
    <w:p>
      <w:pPr>
        <w:pStyle w:val="Normal"/>
        <w:rPr>
          <w:b/>
          <w:b/>
          <w:sz w:val="22"/>
          <w:szCs w:val="22"/>
        </w:rPr>
      </w:pPr>
      <w:r>
        <w:rPr>
          <w:b/>
          <w:sz w:val="22"/>
          <w:szCs w:val="22"/>
        </w:rPr>
      </w:r>
    </w:p>
    <w:tbl>
      <w:tblPr>
        <w:tblW w:w="8985" w:type="dxa"/>
        <w:jc w:val="left"/>
        <w:tblInd w:w="360" w:type="dxa"/>
        <w:tblCellMar>
          <w:top w:w="0" w:type="dxa"/>
          <w:left w:w="98" w:type="dxa"/>
          <w:bottom w:w="0" w:type="dxa"/>
          <w:right w:w="108" w:type="dxa"/>
        </w:tblCellMar>
        <w:tblLook w:firstRow="0" w:noVBand="1" w:lastRow="0" w:firstColumn="0" w:lastColumn="0" w:noHBand="0" w:val="0400"/>
      </w:tblPr>
      <w:tblGrid>
        <w:gridCol w:w="2732"/>
        <w:gridCol w:w="1633"/>
        <w:gridCol w:w="903"/>
        <w:gridCol w:w="1627"/>
        <w:gridCol w:w="2090"/>
      </w:tblGrid>
      <w:tr>
        <w:trPr/>
        <w:tc>
          <w:tcPr>
            <w:tcW w:w="273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eastAsia="Times New Roman" w:cs="Times New Roman"/>
                <w:b/>
                <w:b/>
              </w:rPr>
            </w:pPr>
            <w:r>
              <w:rPr>
                <w:rFonts w:eastAsia="Times New Roman" w:cs="Times New Roman" w:ascii="Times New Roman" w:hAnsi="Times New Roman"/>
                <w:b/>
              </w:rPr>
              <w:t>TIPO</w:t>
            </w:r>
          </w:p>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VEÍCULO/EQUIPAMENTO</w:t>
            </w:r>
          </w:p>
        </w:tc>
        <w:tc>
          <w:tcPr>
            <w:tcW w:w="163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MARCA</w:t>
            </w:r>
          </w:p>
        </w:tc>
        <w:tc>
          <w:tcPr>
            <w:tcW w:w="90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PLACA</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ANO/MODELO</w:t>
            </w:r>
          </w:p>
        </w:tc>
        <w:tc>
          <w:tcPr>
            <w:tcW w:w="209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TIPO DE COMBUSTÍVEL</w:t>
            </w:r>
          </w:p>
        </w:tc>
      </w:tr>
      <w:tr>
        <w:trPr/>
        <w:tc>
          <w:tcPr>
            <w:tcW w:w="273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color w:val="222222"/>
              </w:rPr>
            </w:pPr>
            <w:r>
              <w:rPr>
                <w:color w:val="222222"/>
              </w:rPr>
              <w:t>AMAROKABERT</w:t>
            </w:r>
          </w:p>
          <w:p>
            <w:pPr>
              <w:pStyle w:val="Normal"/>
              <w:spacing w:before="0" w:after="360"/>
              <w:jc w:val="center"/>
              <w:rPr>
                <w:b/>
                <w:b/>
              </w:rPr>
            </w:pPr>
            <w:r>
              <w:rPr>
                <w:color w:val="222222"/>
              </w:rPr>
              <w:t>/C. DUPLA/4X4</w:t>
            </w:r>
          </w:p>
        </w:tc>
        <w:tc>
          <w:tcPr>
            <w:tcW w:w="163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VOLKSWAGEN</w:t>
            </w:r>
          </w:p>
        </w:tc>
        <w:tc>
          <w:tcPr>
            <w:tcW w:w="90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OYP 9268</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t>2014/2014</w:t>
            </w:r>
          </w:p>
        </w:tc>
        <w:tc>
          <w:tcPr>
            <w:tcW w:w="209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DIESEL</w:t>
            </w:r>
          </w:p>
        </w:tc>
      </w:tr>
      <w:tr>
        <w:trPr>
          <w:trHeight w:val="468" w:hRule="atLeast"/>
        </w:trPr>
        <w:tc>
          <w:tcPr>
            <w:tcW w:w="273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color w:val="222222"/>
              </w:rPr>
            </w:pPr>
            <w:r>
              <w:rPr>
                <w:color w:val="222222"/>
              </w:rPr>
              <w:t>GRAN MICRO S4</w:t>
            </w:r>
          </w:p>
          <w:p>
            <w:pPr>
              <w:pStyle w:val="Normal"/>
              <w:spacing w:before="0" w:after="360"/>
              <w:jc w:val="center"/>
              <w:rPr>
                <w:b/>
                <w:b/>
              </w:rPr>
            </w:pPr>
            <w:r>
              <w:rPr>
                <w:color w:val="222222"/>
              </w:rPr>
              <w:t>MASCARELLO</w:t>
            </w:r>
          </w:p>
        </w:tc>
        <w:tc>
          <w:tcPr>
            <w:tcW w:w="163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VOLKSWAGEN</w:t>
            </w:r>
          </w:p>
        </w:tc>
        <w:tc>
          <w:tcPr>
            <w:tcW w:w="90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shd w:fill="FFFFFF" w:val="clear"/>
              </w:rPr>
              <w:t>PCG-1677</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pPr>
            <w:r>
              <w:rPr/>
              <w:t>2018/201</w:t>
            </w:r>
            <w:bookmarkStart w:id="17" w:name="_GoBack"/>
            <w:bookmarkEnd w:id="17"/>
            <w:r>
              <w:rPr/>
              <w:t>9</w:t>
            </w:r>
          </w:p>
        </w:tc>
        <w:tc>
          <w:tcPr>
            <w:tcW w:w="209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DIESEL</w:t>
            </w:r>
          </w:p>
        </w:tc>
      </w:tr>
      <w:tr>
        <w:trPr/>
        <w:tc>
          <w:tcPr>
            <w:tcW w:w="2732"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GOL CL 1.6 MI</w:t>
            </w:r>
          </w:p>
        </w:tc>
        <w:tc>
          <w:tcPr>
            <w:tcW w:w="163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VOLKSWAGEN</w:t>
            </w:r>
          </w:p>
        </w:tc>
        <w:tc>
          <w:tcPr>
            <w:tcW w:w="903"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KJA 8252</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1997/1998</w:t>
            </w:r>
          </w:p>
        </w:tc>
        <w:tc>
          <w:tcPr>
            <w:tcW w:w="209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GASOLINA</w:t>
            </w:r>
          </w:p>
        </w:tc>
      </w:tr>
      <w:tr>
        <w:trPr/>
        <w:tc>
          <w:tcPr>
            <w:tcW w:w="2732"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color w:val="222222"/>
              </w:rPr>
              <w:t>LOGAN EXP 16</w:t>
            </w:r>
          </w:p>
        </w:tc>
        <w:tc>
          <w:tcPr>
            <w:tcW w:w="163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color w:val="222222"/>
              </w:rPr>
              <w:t>RENAULT</w:t>
            </w:r>
          </w:p>
        </w:tc>
        <w:tc>
          <w:tcPr>
            <w:tcW w:w="90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color w:val="222222"/>
              </w:rPr>
              <w:t>PDB 8775</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color w:val="222222"/>
              </w:rPr>
              <w:t>2018/2018</w:t>
            </w:r>
          </w:p>
        </w:tc>
        <w:tc>
          <w:tcPr>
            <w:tcW w:w="209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color w:val="222222"/>
              </w:rPr>
              <w:t>ETANOL/GASOLINA</w:t>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widowControl w:val="false"/>
        <w:ind w:left="283" w:right="-197" w:hanging="0"/>
        <w:rPr>
          <w:b/>
          <w:b/>
          <w:sz w:val="22"/>
          <w:szCs w:val="22"/>
        </w:rPr>
      </w:pPr>
      <w:r>
        <w:rPr>
          <w:b/>
          <w:sz w:val="22"/>
          <w:szCs w:val="22"/>
        </w:rPr>
        <w:t xml:space="preserve">GRUPO 08(Campus Serra Talhada/IF SERTÃO – PE – UASG 158741) </w:t>
      </w:r>
    </w:p>
    <w:p>
      <w:pPr>
        <w:pStyle w:val="Normal"/>
        <w:widowControl w:val="false"/>
        <w:ind w:left="142" w:right="-197" w:hanging="0"/>
        <w:rPr>
          <w:b/>
          <w:b/>
          <w:sz w:val="22"/>
          <w:szCs w:val="22"/>
        </w:rPr>
      </w:pPr>
      <w:r>
        <w:rPr>
          <w:b/>
          <w:sz w:val="22"/>
          <w:szCs w:val="22"/>
        </w:rPr>
      </w:r>
    </w:p>
    <w:tbl>
      <w:tblPr>
        <w:tblW w:w="9045" w:type="dxa"/>
        <w:jc w:val="left"/>
        <w:tblInd w:w="360" w:type="dxa"/>
        <w:tblCellMar>
          <w:top w:w="0" w:type="dxa"/>
          <w:left w:w="98" w:type="dxa"/>
          <w:bottom w:w="0" w:type="dxa"/>
          <w:right w:w="108" w:type="dxa"/>
        </w:tblCellMar>
        <w:tblLook w:firstRow="0" w:noVBand="1" w:lastRow="0" w:firstColumn="0" w:lastColumn="0" w:noHBand="0" w:val="0400"/>
      </w:tblPr>
      <w:tblGrid>
        <w:gridCol w:w="2405"/>
        <w:gridCol w:w="1741"/>
        <w:gridCol w:w="1299"/>
        <w:gridCol w:w="1478"/>
        <w:gridCol w:w="2122"/>
      </w:tblGrid>
      <w:tr>
        <w:trPr/>
        <w:tc>
          <w:tcPr>
            <w:tcW w:w="2405"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74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MARCA</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PLACA</w:t>
            </w:r>
          </w:p>
        </w:tc>
        <w:tc>
          <w:tcPr>
            <w:tcW w:w="1478"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ANO/MODELO</w:t>
            </w:r>
          </w:p>
        </w:tc>
        <w:tc>
          <w:tcPr>
            <w:tcW w:w="2122"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sz w:val="18"/>
                <w:szCs w:val="18"/>
              </w:rPr>
            </w:pPr>
            <w:r>
              <w:rPr>
                <w:b/>
                <w:sz w:val="18"/>
                <w:szCs w:val="18"/>
              </w:rPr>
              <w:t>TIPO DE COMBUSTÍVEL</w:t>
            </w:r>
          </w:p>
        </w:tc>
      </w:tr>
      <w:tr>
        <w:trPr/>
        <w:tc>
          <w:tcPr>
            <w:tcW w:w="2405"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GOL POWER</w:t>
            </w:r>
          </w:p>
        </w:tc>
        <w:tc>
          <w:tcPr>
            <w:tcW w:w="174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GOL POWER VOLKSWAGEN</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KHM7152</w:t>
            </w:r>
          </w:p>
        </w:tc>
        <w:tc>
          <w:tcPr>
            <w:tcW w:w="147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2006</w:t>
            </w:r>
          </w:p>
        </w:tc>
        <w:tc>
          <w:tcPr>
            <w:tcW w:w="212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GASOLINA/ÁLCOOL</w:t>
            </w:r>
          </w:p>
        </w:tc>
      </w:tr>
      <w:tr>
        <w:trPr/>
        <w:tc>
          <w:tcPr>
            <w:tcW w:w="2405"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SIENA</w:t>
            </w:r>
          </w:p>
        </w:tc>
        <w:tc>
          <w:tcPr>
            <w:tcW w:w="174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SIENA FIAT</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KHK0231</w:t>
            </w:r>
          </w:p>
        </w:tc>
        <w:tc>
          <w:tcPr>
            <w:tcW w:w="147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2008</w:t>
            </w:r>
          </w:p>
        </w:tc>
        <w:tc>
          <w:tcPr>
            <w:tcW w:w="212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GASOLINA/ÁLCOOL</w:t>
            </w:r>
          </w:p>
        </w:tc>
      </w:tr>
      <w:tr>
        <w:trPr/>
        <w:tc>
          <w:tcPr>
            <w:tcW w:w="2405"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SIENA EL</w:t>
            </w:r>
          </w:p>
        </w:tc>
        <w:tc>
          <w:tcPr>
            <w:tcW w:w="174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SIENA EL FIAT</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PCB8002</w:t>
            </w:r>
          </w:p>
        </w:tc>
        <w:tc>
          <w:tcPr>
            <w:tcW w:w="147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2015</w:t>
            </w:r>
          </w:p>
        </w:tc>
        <w:tc>
          <w:tcPr>
            <w:tcW w:w="212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GASOLINA/ÁLCOOL</w:t>
            </w:r>
          </w:p>
        </w:tc>
      </w:tr>
      <w:tr>
        <w:trPr/>
        <w:tc>
          <w:tcPr>
            <w:tcW w:w="2405"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L200 TRITON GLX D</w:t>
            </w:r>
          </w:p>
        </w:tc>
        <w:tc>
          <w:tcPr>
            <w:tcW w:w="174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MITUSUBISH</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PGX9583</w:t>
            </w:r>
          </w:p>
        </w:tc>
        <w:tc>
          <w:tcPr>
            <w:tcW w:w="147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2018</w:t>
            </w:r>
          </w:p>
        </w:tc>
        <w:tc>
          <w:tcPr>
            <w:tcW w:w="212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rHeight w:val="437" w:hRule="atLeast"/>
        </w:trPr>
        <w:tc>
          <w:tcPr>
            <w:tcW w:w="2405"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ÔNIBUS</w:t>
            </w:r>
          </w:p>
        </w:tc>
        <w:tc>
          <w:tcPr>
            <w:tcW w:w="174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MERCEDES BENZ</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KIP9075</w:t>
            </w:r>
          </w:p>
        </w:tc>
        <w:tc>
          <w:tcPr>
            <w:tcW w:w="147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1995</w:t>
            </w:r>
          </w:p>
        </w:tc>
        <w:tc>
          <w:tcPr>
            <w:tcW w:w="212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t>DIESEL</w:t>
            </w:r>
          </w:p>
        </w:tc>
      </w:tr>
      <w:tr>
        <w:trPr>
          <w:trHeight w:val="222" w:hRule="atLeast"/>
        </w:trPr>
        <w:tc>
          <w:tcPr>
            <w:tcW w:w="2405"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t>ÔNIBUS 0500RSD</w:t>
            </w:r>
          </w:p>
        </w:tc>
        <w:tc>
          <w:tcPr>
            <w:tcW w:w="174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t>MERCEDES BENZ</w:t>
            </w:r>
          </w:p>
        </w:tc>
        <w:tc>
          <w:tcPr>
            <w:tcW w:w="1299"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t>PCL8688</w:t>
            </w:r>
          </w:p>
        </w:tc>
        <w:tc>
          <w:tcPr>
            <w:tcW w:w="1478"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pPr>
            <w:r>
              <w:rPr/>
              <w:t>2018</w:t>
            </w:r>
          </w:p>
        </w:tc>
        <w:tc>
          <w:tcPr>
            <w:tcW w:w="2122"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360"/>
              <w:jc w:val="center"/>
              <w:rPr>
                <w:b/>
                <w:b/>
              </w:rPr>
            </w:pPr>
            <w:r>
              <w:rPr/>
              <w:t>DIESEL</w:t>
            </w:r>
          </w:p>
        </w:tc>
      </w:tr>
    </w:tbl>
    <w:p>
      <w:pPr>
        <w:pStyle w:val="Normal"/>
        <w:rPr>
          <w:b/>
          <w:b/>
          <w:sz w:val="22"/>
          <w:szCs w:val="22"/>
        </w:rPr>
      </w:pPr>
      <w:r>
        <w:rPr>
          <w:b/>
          <w:sz w:val="22"/>
          <w:szCs w:val="22"/>
        </w:rPr>
      </w:r>
    </w:p>
    <w:p>
      <w:pPr>
        <w:pStyle w:val="Normal"/>
        <w:rPr>
          <w:b/>
          <w:b/>
          <w:sz w:val="22"/>
          <w:szCs w:val="22"/>
        </w:rPr>
      </w:pPr>
      <w:r>
        <w:rPr>
          <w:b/>
          <w:sz w:val="22"/>
          <w:szCs w:val="22"/>
        </w:rPr>
      </w:r>
    </w:p>
    <w:p>
      <w:pPr>
        <w:sectPr>
          <w:headerReference w:type="default" r:id="rId21"/>
          <w:footerReference w:type="default" r:id="rId22"/>
          <w:type w:val="nextPage"/>
          <w:pgSz w:w="11906" w:h="16838"/>
          <w:pgMar w:left="1418" w:right="1418" w:header="709" w:top="1701" w:footer="709" w:bottom="1134" w:gutter="0"/>
          <w:pgNumType w:fmt="decimal"/>
          <w:formProt w:val="false"/>
          <w:textDirection w:val="lrTb"/>
          <w:docGrid w:type="default" w:linePitch="100" w:charSpace="16384"/>
        </w:sect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30"/>
          <w:szCs w:val="30"/>
        </w:rPr>
      </w:pPr>
      <w:r>
        <w:rPr>
          <w:b/>
          <w:sz w:val="30"/>
          <w:szCs w:val="30"/>
        </w:rPr>
        <w:t xml:space="preserve">ANEXO I/E </w:t>
      </w:r>
    </w:p>
    <w:p>
      <w:pPr>
        <w:sectPr>
          <w:headerReference w:type="default" r:id="rId23"/>
          <w:footerReference w:type="default" r:id="rId24"/>
          <w:type w:val="nextPage"/>
          <w:pgSz w:orient="landscape" w:w="16838" w:h="11906"/>
          <w:pgMar w:left="1418" w:right="1418" w:header="709" w:top="1701" w:footer="709" w:bottom="1134" w:gutter="0"/>
          <w:pgNumType w:fmt="decimal"/>
          <w:formProt w:val="false"/>
          <w:textDirection w:val="lrTb"/>
          <w:docGrid w:type="default" w:linePitch="100" w:charSpace="16384"/>
        </w:sectPr>
        <w:pStyle w:val="Normal"/>
        <w:spacing w:before="240" w:after="240"/>
        <w:jc w:val="center"/>
        <w:rPr>
          <w:b/>
          <w:b/>
          <w:sz w:val="30"/>
          <w:szCs w:val="30"/>
        </w:rPr>
      </w:pPr>
      <w:r>
        <w:rPr>
          <w:b/>
          <w:sz w:val="30"/>
          <w:szCs w:val="30"/>
        </w:rPr>
        <w:t>INSTRUMENTO DE MEDIÇÃO DE RESULTADOS (IMR) – POR INDICADORES</w:t>
      </w:r>
    </w:p>
    <w:p>
      <w:pPr>
        <w:pStyle w:val="Normal"/>
        <w:bidi w:val="0"/>
        <w:spacing w:lineRule="auto" w:line="360" w:before="0" w:after="0"/>
        <w:jc w:val="center"/>
        <w:rPr>
          <w:b/>
          <w:b/>
          <w:sz w:val="22"/>
          <w:szCs w:val="22"/>
        </w:rPr>
      </w:pPr>
      <w:r>
        <w:rPr>
          <w:b/>
          <w:sz w:val="22"/>
          <w:szCs w:val="22"/>
        </w:rPr>
        <w:t xml:space="preserve">ANEXO I/E </w:t>
      </w:r>
    </w:p>
    <w:p>
      <w:pPr>
        <w:pStyle w:val="Normal"/>
        <w:bidi w:val="0"/>
        <w:spacing w:lineRule="auto" w:line="360" w:before="0" w:after="0"/>
        <w:jc w:val="center"/>
        <w:rPr>
          <w:b/>
          <w:b/>
          <w:sz w:val="22"/>
          <w:szCs w:val="22"/>
        </w:rPr>
      </w:pPr>
      <w:r>
        <w:rPr>
          <w:b/>
          <w:sz w:val="22"/>
          <w:szCs w:val="22"/>
        </w:rPr>
        <w:t>INSTRUMENTO DE MEDIÇÃO DE RESULTADOS (IMR) – POR INDICADORES</w:t>
      </w:r>
    </w:p>
    <w:p>
      <w:pPr>
        <w:pStyle w:val="Normal"/>
        <w:bidi w:val="0"/>
        <w:spacing w:lineRule="auto" w:line="360" w:before="0" w:after="0"/>
        <w:jc w:val="center"/>
        <w:rPr>
          <w:b/>
          <w:b/>
          <w:sz w:val="22"/>
          <w:szCs w:val="22"/>
        </w:rPr>
      </w:pPr>
      <w:r>
        <w:rPr>
          <w:rFonts w:eastAsia="Times New Roman" w:cs="Times New Roman"/>
          <w:b/>
          <w:bCs/>
          <w:color w:val="000000"/>
          <w:sz w:val="22"/>
          <w:szCs w:val="22"/>
        </w:rPr>
        <w:t>PROCESSO ADMINISTRATIVO N.º</w:t>
      </w:r>
      <w:r>
        <w:rPr>
          <w:b/>
          <w:bCs/>
          <w:sz w:val="24"/>
          <w:szCs w:val="24"/>
        </w:rPr>
        <w:t xml:space="preserve"> </w:t>
      </w:r>
      <w:r>
        <w:rPr>
          <w:rFonts w:eastAsia="Times New Roman" w:cs="Times New Roman"/>
          <w:b/>
          <w:bCs/>
          <w:color w:val="000000"/>
          <w:sz w:val="22"/>
          <w:szCs w:val="22"/>
        </w:rPr>
        <w:t>23302.000406.2021-26</w:t>
      </w:r>
      <w:r>
        <w:rPr>
          <w:bCs/>
          <w:sz w:val="22"/>
          <w:szCs w:val="22"/>
        </w:rPr>
        <w:t xml:space="preserve"> </w:t>
      </w:r>
    </w:p>
    <w:p>
      <w:pPr>
        <w:pStyle w:val="Normal"/>
        <w:spacing w:lineRule="auto" w:line="276" w:before="240" w:after="0"/>
        <w:jc w:val="both"/>
        <w:rPr>
          <w:b/>
          <w:b/>
          <w:sz w:val="22"/>
          <w:szCs w:val="22"/>
        </w:rPr>
      </w:pPr>
      <w:r>
        <w:rPr>
          <w:b/>
          <w:sz w:val="22"/>
          <w:szCs w:val="22"/>
        </w:rPr>
        <w:t xml:space="preserve"> </w:t>
      </w:r>
      <w:r>
        <w:rPr>
          <w:b/>
          <w:sz w:val="22"/>
          <w:szCs w:val="22"/>
        </w:rPr>
        <w:t>1</w:t>
      </w:r>
      <w:r>
        <w:rPr>
          <w:b/>
          <w:sz w:val="14"/>
          <w:szCs w:val="14"/>
        </w:rPr>
        <w:t xml:space="preserve">. </w:t>
      </w:r>
      <w:r>
        <w:rPr>
          <w:b/>
          <w:sz w:val="22"/>
          <w:szCs w:val="22"/>
        </w:rPr>
        <w:t>DA DEFINIÇÃO</w:t>
      </w:r>
    </w:p>
    <w:p>
      <w:pPr>
        <w:pStyle w:val="Normal"/>
        <w:spacing w:before="240" w:after="240"/>
        <w:jc w:val="both"/>
        <w:rPr>
          <w:b/>
          <w:b/>
          <w:sz w:val="22"/>
          <w:szCs w:val="22"/>
        </w:rPr>
      </w:pPr>
      <w:r>
        <w:rPr>
          <w:b/>
          <w:sz w:val="22"/>
          <w:szCs w:val="22"/>
        </w:rPr>
        <w:t>1.1</w:t>
      </w:r>
      <w:r>
        <w:rPr>
          <w:b/>
          <w:sz w:val="14"/>
          <w:szCs w:val="14"/>
        </w:rPr>
        <w:t xml:space="preserve">. </w:t>
      </w:r>
      <w:r>
        <w:rPr>
          <w:sz w:val="22"/>
          <w:szCs w:val="22"/>
        </w:rPr>
        <w:t>Este documento apresenta os critérios de avaliação da qualidade dos serviços, identificando indicadores, metas, mecanismos de cálculo, forma de acompanhamento e adequações de pagamento por eventual não atendimento das metas estabelecidas e estipulados no Instrumento Convocatório.</w:t>
      </w:r>
    </w:p>
    <w:p>
      <w:pPr>
        <w:pStyle w:val="Normal"/>
        <w:spacing w:before="240" w:after="240"/>
        <w:jc w:val="both"/>
        <w:rPr>
          <w:b/>
          <w:b/>
          <w:sz w:val="22"/>
          <w:szCs w:val="22"/>
        </w:rPr>
      </w:pPr>
      <w:r>
        <w:rPr>
          <w:sz w:val="22"/>
          <w:szCs w:val="22"/>
        </w:rPr>
        <w:t>1.2</w:t>
      </w:r>
      <w:r>
        <w:rPr>
          <w:sz w:val="14"/>
          <w:szCs w:val="14"/>
        </w:rPr>
        <w:t xml:space="preserve">. </w:t>
      </w:r>
      <w:r>
        <w:rPr>
          <w:sz w:val="22"/>
          <w:szCs w:val="22"/>
        </w:rPr>
        <w:t>Este anexo (IMR) é parte indissociável do Termo de Referência. Àquele contém critérios de medição que estão em consonância com as regras de execução dos serviços estabelecidas na minuta contratual, sendo imprescindível a obediência a estes ditames sob pena de imputação de sanções administrativas.</w:t>
      </w:r>
    </w:p>
    <w:p>
      <w:pPr>
        <w:pStyle w:val="Normal"/>
        <w:spacing w:before="240" w:after="240"/>
        <w:jc w:val="both"/>
        <w:rPr>
          <w:b/>
          <w:b/>
          <w:sz w:val="22"/>
          <w:szCs w:val="22"/>
        </w:rPr>
      </w:pPr>
      <w:r>
        <w:rPr>
          <w:sz w:val="22"/>
          <w:szCs w:val="22"/>
        </w:rPr>
        <w:t>2</w:t>
      </w:r>
      <w:r>
        <w:rPr>
          <w:sz w:val="14"/>
          <w:szCs w:val="14"/>
        </w:rPr>
        <w:t xml:space="preserve">. </w:t>
      </w:r>
      <w:r>
        <w:rPr>
          <w:b/>
          <w:sz w:val="22"/>
          <w:szCs w:val="22"/>
        </w:rPr>
        <w:t>DOS INDICADORES, METAS E DOS MECANISMOS DE CÁLCULO</w:t>
      </w:r>
    </w:p>
    <w:p>
      <w:pPr>
        <w:pStyle w:val="Normal"/>
        <w:spacing w:before="240" w:after="240"/>
        <w:jc w:val="both"/>
        <w:rPr>
          <w:b/>
          <w:b/>
          <w:sz w:val="22"/>
          <w:szCs w:val="22"/>
        </w:rPr>
      </w:pPr>
      <w:r>
        <w:rPr>
          <w:sz w:val="22"/>
          <w:szCs w:val="22"/>
        </w:rPr>
        <w:t>2.1</w:t>
      </w:r>
      <w:r>
        <w:rPr>
          <w:sz w:val="14"/>
          <w:szCs w:val="14"/>
        </w:rPr>
        <w:t xml:space="preserve">. </w:t>
      </w:r>
      <w:r>
        <w:rPr>
          <w:sz w:val="22"/>
          <w:szCs w:val="22"/>
        </w:rPr>
        <w:t>Os serviços e produtos da CONTRATADA serão avaliados por meio de 02 (dois) indicadores de qualidade:</w:t>
      </w:r>
    </w:p>
    <w:p>
      <w:pPr>
        <w:pStyle w:val="Normal"/>
        <w:widowControl/>
        <w:suppressAutoHyphens w:val="true"/>
        <w:bidi w:val="0"/>
        <w:spacing w:lineRule="auto" w:line="360" w:before="240" w:after="240"/>
        <w:ind w:left="567" w:right="0" w:hanging="0"/>
        <w:jc w:val="both"/>
        <w:rPr>
          <w:sz w:val="22"/>
          <w:szCs w:val="22"/>
        </w:rPr>
      </w:pPr>
      <w:r>
        <w:rPr>
          <w:sz w:val="22"/>
          <w:szCs w:val="22"/>
        </w:rPr>
        <w:t>2.1.1 Tempo de resposta às solicitações da contratante;</w:t>
      </w:r>
    </w:p>
    <w:p>
      <w:pPr>
        <w:pStyle w:val="Normal"/>
        <w:widowControl/>
        <w:suppressAutoHyphens w:val="true"/>
        <w:bidi w:val="0"/>
        <w:spacing w:lineRule="auto" w:line="360" w:before="240" w:after="240"/>
        <w:ind w:left="567" w:right="0" w:hanging="0"/>
        <w:jc w:val="both"/>
        <w:rPr>
          <w:sz w:val="22"/>
          <w:szCs w:val="22"/>
        </w:rPr>
      </w:pPr>
      <w:r>
        <w:rPr>
          <w:sz w:val="22"/>
          <w:szCs w:val="22"/>
        </w:rPr>
        <w:t>2.1.2 Quantidade e qualidade dos serviços prestados.</w:t>
      </w:r>
    </w:p>
    <w:p>
      <w:pPr>
        <w:pStyle w:val="Normal"/>
        <w:spacing w:before="240" w:after="240"/>
        <w:jc w:val="both"/>
        <w:rPr>
          <w:b/>
          <w:b/>
          <w:sz w:val="22"/>
          <w:szCs w:val="22"/>
        </w:rPr>
      </w:pPr>
      <w:r>
        <w:rPr>
          <w:sz w:val="22"/>
          <w:szCs w:val="22"/>
        </w:rPr>
        <w:t>2.2</w:t>
      </w:r>
      <w:r>
        <w:rPr>
          <w:sz w:val="14"/>
          <w:szCs w:val="14"/>
        </w:rPr>
        <w:t xml:space="preserve">. </w:t>
      </w:r>
      <w:r>
        <w:rPr>
          <w:sz w:val="22"/>
          <w:szCs w:val="22"/>
        </w:rPr>
        <w:t>Aos indicadores serão atribuídas pontuações, conforme critérios apresentados nas tabelas abaixo.</w:t>
      </w:r>
    </w:p>
    <w:p>
      <w:pPr>
        <w:pStyle w:val="Normal"/>
        <w:spacing w:before="240" w:after="240"/>
        <w:jc w:val="both"/>
        <w:rPr>
          <w:b/>
          <w:b/>
          <w:sz w:val="22"/>
          <w:szCs w:val="22"/>
        </w:rPr>
      </w:pPr>
      <w:r>
        <w:rPr>
          <w:sz w:val="22"/>
          <w:szCs w:val="22"/>
        </w:rPr>
        <w:t>2.3</w:t>
      </w:r>
      <w:r>
        <w:rPr>
          <w:sz w:val="14"/>
          <w:szCs w:val="14"/>
        </w:rPr>
        <w:t xml:space="preserve">. </w:t>
      </w:r>
      <w:r>
        <w:rPr>
          <w:sz w:val="22"/>
          <w:szCs w:val="22"/>
        </w:rPr>
        <w:t>Cada indicador contribui com uma quantidade diferenciada na aferição da pontuação. Essa diferença está relacionada à essencialidade do indicador para a qualidade na execução dos serviços.</w:t>
      </w:r>
    </w:p>
    <w:p>
      <w:pPr>
        <w:pStyle w:val="Normal"/>
        <w:spacing w:before="240" w:after="240"/>
        <w:jc w:val="both"/>
        <w:rPr>
          <w:b/>
          <w:b/>
          <w:sz w:val="22"/>
          <w:szCs w:val="22"/>
        </w:rPr>
      </w:pPr>
      <w:r>
        <w:rPr>
          <w:sz w:val="22"/>
          <w:szCs w:val="22"/>
        </w:rPr>
        <w:t>2.4</w:t>
      </w:r>
      <w:r>
        <w:rPr>
          <w:sz w:val="14"/>
          <w:szCs w:val="14"/>
        </w:rPr>
        <w:t xml:space="preserve">. </w:t>
      </w:r>
      <w:r>
        <w:rPr>
          <w:sz w:val="22"/>
          <w:szCs w:val="22"/>
        </w:rPr>
        <w:t>A pontuação final da execução dos serviços pode resultar em valores entre 0 (zero) e 100 (cem), que correspondem a uma graduação do nível de qualidade na execução dos serviços. Considera-se o valor 0 (zero) para um serviço inteiramente desprovido de qualidade, e, o valor 100 (cem) para o serviço inteiramente provido de qualidade.</w:t>
      </w:r>
    </w:p>
    <w:p>
      <w:pPr>
        <w:pStyle w:val="Normal"/>
        <w:spacing w:before="240" w:after="240"/>
        <w:jc w:val="both"/>
        <w:rPr>
          <w:b/>
          <w:b/>
          <w:sz w:val="22"/>
          <w:szCs w:val="22"/>
        </w:rPr>
      </w:pPr>
      <w:r>
        <w:rPr>
          <w:b/>
          <w:sz w:val="22"/>
          <w:szCs w:val="22"/>
        </w:rPr>
        <w:t>2.5</w:t>
      </w:r>
      <w:r>
        <w:rPr>
          <w:b/>
          <w:sz w:val="14"/>
          <w:szCs w:val="14"/>
        </w:rPr>
        <w:t xml:space="preserve">. </w:t>
      </w:r>
      <w:r>
        <w:rPr>
          <w:sz w:val="22"/>
          <w:szCs w:val="22"/>
        </w:rPr>
        <w:t>As tabelas abaixo apresentam os indicadores, as metas, os critérios e os mecanismos de cálculo da pontuação para fins de cálculo do pagamento da contratada.</w:t>
      </w:r>
    </w:p>
    <w:p>
      <w:pPr>
        <w:pStyle w:val="Normal"/>
        <w:spacing w:before="240" w:after="240"/>
        <w:jc w:val="both"/>
        <w:rPr>
          <w:sz w:val="22"/>
          <w:szCs w:val="22"/>
        </w:rPr>
      </w:pPr>
      <w:r>
        <w:rPr>
          <w:sz w:val="22"/>
          <w:szCs w:val="22"/>
        </w:rPr>
      </w:r>
    </w:p>
    <w:tbl>
      <w:tblPr>
        <w:tblW w:w="9285" w:type="dxa"/>
        <w:jc w:val="left"/>
        <w:tblInd w:w="0" w:type="dxa"/>
        <w:tblCellMar>
          <w:top w:w="100" w:type="dxa"/>
          <w:left w:w="10" w:type="dxa"/>
          <w:bottom w:w="100" w:type="dxa"/>
          <w:right w:w="10" w:type="dxa"/>
        </w:tblCellMar>
        <w:tblLook w:firstRow="0" w:noVBand="1" w:lastRow="0" w:firstColumn="0" w:lastColumn="0" w:noHBand="1" w:val="0600"/>
      </w:tblPr>
      <w:tblGrid>
        <w:gridCol w:w="3450"/>
        <w:gridCol w:w="5834"/>
      </w:tblGrid>
      <w:tr>
        <w:trPr>
          <w:trHeight w:val="530" w:hRule="atLeast"/>
        </w:trPr>
        <w:tc>
          <w:tcPr>
            <w:tcW w:w="9284" w:type="dxa"/>
            <w:gridSpan w:val="2"/>
            <w:tcBorders>
              <w:top w:val="single" w:sz="8" w:space="0" w:color="000001"/>
              <w:left w:val="single" w:sz="8" w:space="0" w:color="000001"/>
              <w:bottom w:val="single" w:sz="8" w:space="0" w:color="000001"/>
              <w:right w:val="single" w:sz="8" w:space="0" w:color="000001"/>
            </w:tcBorders>
            <w:shd w:color="auto" w:fill="003366" w:val="clear"/>
          </w:tcPr>
          <w:p>
            <w:pPr>
              <w:pStyle w:val="Normal"/>
              <w:spacing w:lineRule="auto" w:line="276" w:before="240" w:after="240"/>
              <w:jc w:val="center"/>
              <w:rPr>
                <w:b/>
                <w:b/>
                <w:color w:val="FFFFFF"/>
              </w:rPr>
            </w:pPr>
            <w:r>
              <w:rPr>
                <w:b/>
                <w:color w:val="FFFFFF"/>
              </w:rPr>
              <w:t>INDICADOR 1 - TEMPO DE RESPOSTA ÀS SOLICITAÇÕES DA CONTRATANTE</w:t>
            </w:r>
          </w:p>
        </w:tc>
      </w:tr>
      <w:tr>
        <w:trPr>
          <w:trHeight w:val="935" w:hRule="atLeast"/>
        </w:trPr>
        <w:tc>
          <w:tcPr>
            <w:tcW w:w="3450" w:type="dxa"/>
            <w:tcBorders>
              <w:top w:val="single" w:sz="8" w:space="0" w:color="000001"/>
              <w:left w:val="single" w:sz="8" w:space="0" w:color="000001"/>
              <w:bottom w:val="single" w:sz="8" w:space="0" w:color="000001"/>
              <w:right w:val="single" w:sz="8" w:space="0" w:color="000001"/>
            </w:tcBorders>
            <w:shd w:color="auto" w:fill="336699" w:val="clear"/>
          </w:tcPr>
          <w:p>
            <w:pPr>
              <w:pStyle w:val="Normal"/>
              <w:spacing w:before="240" w:after="240"/>
              <w:rPr>
                <w:b/>
                <w:b/>
              </w:rPr>
            </w:pPr>
            <w:r>
              <w:rPr>
                <w:b/>
              </w:rPr>
              <w:t>ITEM</w:t>
            </w:r>
          </w:p>
        </w:tc>
        <w:tc>
          <w:tcPr>
            <w:tcW w:w="5834" w:type="dxa"/>
            <w:tcBorders>
              <w:top w:val="single" w:sz="8" w:space="0" w:color="000001"/>
              <w:left w:val="single" w:sz="8" w:space="0" w:color="000001"/>
              <w:bottom w:val="single" w:sz="8" w:space="0" w:color="000001"/>
              <w:right w:val="single" w:sz="8" w:space="0" w:color="000001"/>
            </w:tcBorders>
            <w:shd w:color="auto" w:fill="336699" w:val="clear"/>
          </w:tcPr>
          <w:p>
            <w:pPr>
              <w:pStyle w:val="Normal"/>
              <w:spacing w:before="240" w:after="240"/>
              <w:jc w:val="both"/>
              <w:rPr>
                <w:b/>
                <w:b/>
              </w:rPr>
            </w:pPr>
            <w:r>
              <w:rPr>
                <w:b/>
              </w:rPr>
              <w:t>DESCRIÇÃO</w:t>
            </w:r>
          </w:p>
        </w:tc>
      </w:tr>
      <w:tr>
        <w:trPr>
          <w:trHeight w:val="905"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jc w:val="both"/>
              <w:rPr>
                <w:b/>
                <w:b/>
              </w:rPr>
            </w:pPr>
            <w:r>
              <w:rPr>
                <w:b/>
              </w:rPr>
              <w:t>Finalidade</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jc w:val="both"/>
              <w:rPr>
                <w:b/>
                <w:b/>
                <w:sz w:val="22"/>
                <w:szCs w:val="22"/>
              </w:rPr>
            </w:pPr>
            <w:r>
              <w:rPr/>
              <w:t>Mensurar o atendimento das solicitações demandadas pela comissão de fiscalização em todos os itens de a execução do contrato</w:t>
            </w:r>
          </w:p>
        </w:tc>
      </w:tr>
      <w:tr>
        <w:trPr>
          <w:trHeight w:val="750"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Meta a cumprir</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22"/>
                <w:szCs w:val="22"/>
              </w:rPr>
            </w:pPr>
            <w:r>
              <w:rPr/>
              <w:t>Em menor tempo possível a contar da solicitação ou da ordem de serviços, sendo o prazo máximo o de 1 (um) dia útil.</w:t>
            </w:r>
          </w:p>
        </w:tc>
      </w:tr>
      <w:tr>
        <w:trPr>
          <w:trHeight w:val="690"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Instrumento de medição</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22"/>
                <w:szCs w:val="22"/>
              </w:rPr>
            </w:pPr>
            <w:r>
              <w:rPr/>
              <w:t>Constatação formal de ocorrências.</w:t>
            </w:r>
          </w:p>
        </w:tc>
      </w:tr>
      <w:tr>
        <w:trPr>
          <w:trHeight w:val="495"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 xml:space="preserve"> </w:t>
            </w:r>
            <w:r>
              <w:rPr>
                <w:b/>
              </w:rPr>
              <w:t>Forma de acompanhamento</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22"/>
                <w:szCs w:val="22"/>
              </w:rPr>
            </w:pPr>
            <w:r>
              <w:rPr/>
              <w:t xml:space="preserve">Pessoal, quando da solicitação do </w:t>
            </w:r>
            <w:r>
              <w:rPr>
                <w:u w:val="single"/>
              </w:rPr>
              <w:t xml:space="preserve">Fiscal Técnico, </w:t>
            </w:r>
            <w:r>
              <w:rPr/>
              <w:t>através do sistema eletrônico de registro de ocorrências.</w:t>
            </w:r>
          </w:p>
        </w:tc>
      </w:tr>
      <w:tr>
        <w:trPr>
          <w:trHeight w:val="585"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jc w:val="both"/>
              <w:rPr>
                <w:b/>
                <w:b/>
              </w:rPr>
            </w:pPr>
            <w:r>
              <w:rPr>
                <w:b/>
              </w:rPr>
              <w:t xml:space="preserve">   </w:t>
            </w:r>
            <w:r>
              <w:rPr>
                <w:b/>
              </w:rPr>
              <w:t>Periodicidade</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22"/>
                <w:szCs w:val="22"/>
              </w:rPr>
            </w:pPr>
            <w:r>
              <w:rPr/>
              <w:t>Por evento/solicitação à contratante.</w:t>
            </w:r>
          </w:p>
        </w:tc>
      </w:tr>
      <w:tr>
        <w:trPr>
          <w:trHeight w:val="645"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 xml:space="preserve"> </w:t>
            </w:r>
            <w:r>
              <w:rPr>
                <w:b/>
              </w:rPr>
              <w:t>Mecanismo de Cálculo</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20" w:hanging="0"/>
              <w:jc w:val="both"/>
              <w:rPr>
                <w:b/>
                <w:b/>
                <w:sz w:val="22"/>
                <w:szCs w:val="22"/>
              </w:rPr>
            </w:pPr>
            <w:r>
              <w:rPr/>
              <w:t>Verificação da quantidade de ocorrências registradas com tempo de resposta superior a meta.</w:t>
            </w:r>
          </w:p>
        </w:tc>
      </w:tr>
      <w:tr>
        <w:trPr>
          <w:trHeight w:val="510"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Início de Vigência</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22"/>
                <w:szCs w:val="22"/>
              </w:rPr>
            </w:pPr>
            <w:r>
              <w:rPr/>
              <w:t>A partir do início da prestação do serviço.</w:t>
            </w:r>
          </w:p>
        </w:tc>
      </w:tr>
      <w:tr>
        <w:trPr>
          <w:trHeight w:val="450"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 xml:space="preserve"> </w:t>
            </w:r>
          </w:p>
          <w:p>
            <w:pPr>
              <w:pStyle w:val="Normal"/>
              <w:spacing w:lineRule="auto" w:line="276" w:before="240" w:after="240"/>
              <w:ind w:left="120" w:hanging="0"/>
              <w:jc w:val="both"/>
              <w:rPr>
                <w:b/>
                <w:b/>
              </w:rPr>
            </w:pPr>
            <w:r>
              <w:rPr>
                <w:b/>
              </w:rPr>
              <w:t>Faixas de ajuste no pagamento</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20" w:hanging="0"/>
              <w:jc w:val="both"/>
              <w:rPr>
                <w:b/>
                <w:b/>
                <w:sz w:val="22"/>
                <w:szCs w:val="22"/>
              </w:rPr>
            </w:pPr>
            <w:r>
              <w:rPr/>
              <w:t>Sem atrasos = 10 Pontos</w:t>
            </w:r>
          </w:p>
          <w:p>
            <w:pPr>
              <w:pStyle w:val="Normal"/>
              <w:spacing w:lineRule="auto" w:line="276" w:before="240" w:after="240"/>
              <w:ind w:left="120" w:hanging="0"/>
              <w:jc w:val="both"/>
              <w:rPr>
                <w:b/>
                <w:b/>
                <w:sz w:val="22"/>
                <w:szCs w:val="22"/>
              </w:rPr>
            </w:pPr>
            <w:r>
              <w:rPr/>
              <w:t>1 resposta com atraso = 8 Pontos 2 respostas com atraso = 6 Pontos 3 respostas com atraso = 4 Pontos 4 respostas com atraso = 2 Ponto 5 ou mais com atraso = 0 Pontos</w:t>
            </w:r>
          </w:p>
        </w:tc>
      </w:tr>
      <w:tr>
        <w:trPr>
          <w:trHeight w:val="450"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Sanções aplicadas na primeira constatação</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20" w:hanging="0"/>
              <w:jc w:val="both"/>
              <w:rPr>
                <w:b/>
                <w:b/>
                <w:sz w:val="22"/>
                <w:szCs w:val="22"/>
              </w:rPr>
            </w:pPr>
            <w:r>
              <w:rPr/>
              <w:t>Conforme item 19 do Termo de Referência.</w:t>
            </w:r>
          </w:p>
        </w:tc>
      </w:tr>
      <w:tr>
        <w:trPr>
          <w:trHeight w:val="450"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 xml:space="preserve"> </w:t>
            </w:r>
          </w:p>
          <w:p>
            <w:pPr>
              <w:pStyle w:val="Normal"/>
              <w:spacing w:lineRule="auto" w:line="276" w:before="240" w:after="240"/>
              <w:ind w:left="120" w:hanging="0"/>
              <w:jc w:val="both"/>
              <w:rPr>
                <w:b/>
                <w:b/>
              </w:rPr>
            </w:pPr>
            <w:r>
              <w:rPr>
                <w:b/>
              </w:rPr>
              <w:t xml:space="preserve"> </w:t>
            </w:r>
          </w:p>
          <w:p>
            <w:pPr>
              <w:pStyle w:val="Normal"/>
              <w:spacing w:lineRule="auto" w:line="276" w:before="240" w:after="240"/>
              <w:ind w:left="120" w:hanging="0"/>
              <w:jc w:val="both"/>
              <w:rPr>
                <w:b/>
                <w:b/>
              </w:rPr>
            </w:pPr>
            <w:r>
              <w:rPr>
                <w:b/>
              </w:rPr>
              <w:t xml:space="preserve"> </w:t>
            </w:r>
            <w:r>
              <w:rPr>
                <w:b/>
              </w:rPr>
              <w:t>Observações</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22"/>
                <w:szCs w:val="22"/>
              </w:rPr>
            </w:pPr>
            <w:r>
              <w:rPr/>
              <w:t>As respostas às solicitações podem figurar-se em basicamente 3 (três) hipóteses:</w:t>
            </w:r>
          </w:p>
          <w:p>
            <w:pPr>
              <w:pStyle w:val="Normal"/>
              <w:spacing w:lineRule="auto" w:line="276" w:before="240" w:after="240"/>
              <w:ind w:left="120" w:hanging="0"/>
              <w:jc w:val="both"/>
              <w:rPr>
                <w:b/>
                <w:b/>
                <w:sz w:val="22"/>
                <w:szCs w:val="22"/>
              </w:rPr>
            </w:pPr>
            <w:r>
              <w:rPr/>
              <w:t>1.                   Resposta em forma de ação (prestação direta de determinado serviço que carece de melhoria ou execução).</w:t>
            </w:r>
          </w:p>
          <w:p>
            <w:pPr>
              <w:pStyle w:val="Normal"/>
              <w:spacing w:lineRule="auto" w:line="276" w:before="240" w:after="240"/>
              <w:ind w:left="120" w:hanging="0"/>
              <w:jc w:val="both"/>
              <w:rPr>
                <w:b/>
                <w:b/>
                <w:sz w:val="22"/>
                <w:szCs w:val="22"/>
              </w:rPr>
            </w:pPr>
            <w:r>
              <w:rPr/>
              <w:t>2.                   Reposta por meios formais (via documentos entregues à Administração).</w:t>
            </w:r>
          </w:p>
          <w:p>
            <w:pPr>
              <w:pStyle w:val="Normal"/>
              <w:spacing w:lineRule="auto" w:line="276" w:before="240" w:after="240"/>
              <w:ind w:left="120" w:hanging="0"/>
              <w:jc w:val="both"/>
              <w:rPr>
                <w:b/>
                <w:b/>
                <w:sz w:val="22"/>
                <w:szCs w:val="22"/>
              </w:rPr>
            </w:pPr>
            <w:r>
              <w:rPr/>
              <w:t>3.                   Resposta por meios informais através do uso de instrumentos telemáticos (comunicado a consultas via telefone ou e- mail).</w:t>
            </w:r>
          </w:p>
        </w:tc>
      </w:tr>
      <w:tr>
        <w:trPr>
          <w:trHeight w:val="450" w:hRule="atLeast"/>
        </w:trPr>
        <w:tc>
          <w:tcPr>
            <w:tcW w:w="345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r>
          </w:p>
          <w:p>
            <w:pPr>
              <w:pStyle w:val="Normal"/>
              <w:spacing w:lineRule="auto" w:line="276" w:before="240" w:after="240"/>
              <w:ind w:left="120" w:hanging="0"/>
              <w:jc w:val="both"/>
              <w:rPr>
                <w:b/>
                <w:b/>
              </w:rPr>
            </w:pPr>
            <w:r>
              <w:rPr>
                <w:b/>
              </w:rPr>
              <w:t xml:space="preserve"> </w:t>
            </w:r>
            <w:r>
              <w:rPr>
                <w:b/>
              </w:rPr>
              <w:t>Demais Observações</w:t>
            </w:r>
          </w:p>
        </w:tc>
        <w:tc>
          <w:tcPr>
            <w:tcW w:w="5834"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20" w:hanging="0"/>
              <w:jc w:val="both"/>
              <w:rPr>
                <w:b/>
                <w:b/>
                <w:sz w:val="22"/>
                <w:szCs w:val="22"/>
              </w:rPr>
            </w:pPr>
            <w:r>
              <w:rPr/>
              <w:t>O que se busca com esse indicador é obter ciência e comprometimento quanto à resolução das demandas levantadas pela contratante o mais breve possível, mesmo que a resolução definitiva de determinada.</w:t>
            </w:r>
          </w:p>
        </w:tc>
      </w:tr>
    </w:tbl>
    <w:p>
      <w:pPr>
        <w:pStyle w:val="Normal"/>
        <w:spacing w:lineRule="auto" w:line="276" w:before="240" w:after="0"/>
        <w:jc w:val="both"/>
        <w:rPr>
          <w:b/>
          <w:b/>
          <w:sz w:val="22"/>
          <w:szCs w:val="22"/>
        </w:rPr>
      </w:pPr>
      <w:r>
        <w:rPr>
          <w:b/>
          <w:sz w:val="24"/>
          <w:szCs w:val="24"/>
        </w:rPr>
        <w:t xml:space="preserve"> </w:t>
      </w:r>
    </w:p>
    <w:tbl>
      <w:tblPr>
        <w:tblW w:w="9585" w:type="dxa"/>
        <w:jc w:val="left"/>
        <w:tblInd w:w="0" w:type="dxa"/>
        <w:tblCellMar>
          <w:top w:w="100" w:type="dxa"/>
          <w:left w:w="10" w:type="dxa"/>
          <w:bottom w:w="100" w:type="dxa"/>
          <w:right w:w="10" w:type="dxa"/>
        </w:tblCellMar>
        <w:tblLook w:firstRow="0" w:noVBand="1" w:lastRow="0" w:firstColumn="0" w:lastColumn="0" w:noHBand="1" w:val="0600"/>
      </w:tblPr>
      <w:tblGrid>
        <w:gridCol w:w="3255"/>
        <w:gridCol w:w="67"/>
        <w:gridCol w:w="6262"/>
      </w:tblGrid>
      <w:tr>
        <w:trPr>
          <w:trHeight w:val="545" w:hRule="atLeast"/>
        </w:trPr>
        <w:tc>
          <w:tcPr>
            <w:tcW w:w="9584" w:type="dxa"/>
            <w:gridSpan w:val="3"/>
            <w:tcBorders>
              <w:top w:val="single" w:sz="8" w:space="0" w:color="000001"/>
              <w:left w:val="single" w:sz="8" w:space="0" w:color="000001"/>
              <w:bottom w:val="single" w:sz="8" w:space="0" w:color="000001"/>
              <w:right w:val="single" w:sz="8" w:space="0" w:color="000001"/>
            </w:tcBorders>
            <w:shd w:color="auto" w:fill="669933" w:val="clear"/>
          </w:tcPr>
          <w:p>
            <w:pPr>
              <w:pStyle w:val="Normal"/>
              <w:spacing w:lineRule="auto" w:line="276" w:before="240" w:after="240"/>
              <w:ind w:left="100" w:hanging="0"/>
              <w:jc w:val="both"/>
              <w:rPr>
                <w:b/>
                <w:b/>
              </w:rPr>
            </w:pPr>
            <w:r>
              <w:rPr>
                <w:b/>
              </w:rPr>
              <w:t>INDICADOR 2 – QUANTIDADE E QUALIDADE DOS SERVIÇOS PRESTADOS</w:t>
            </w:r>
          </w:p>
        </w:tc>
      </w:tr>
      <w:tr>
        <w:trPr>
          <w:trHeight w:val="515" w:hRule="atLeast"/>
        </w:trPr>
        <w:tc>
          <w:tcPr>
            <w:tcW w:w="3322" w:type="dxa"/>
            <w:gridSpan w:val="2"/>
            <w:tcBorders>
              <w:top w:val="single" w:sz="8" w:space="0" w:color="000001"/>
              <w:left w:val="single" w:sz="8" w:space="0" w:color="000001"/>
              <w:bottom w:val="single" w:sz="8" w:space="0" w:color="000001"/>
              <w:right w:val="single" w:sz="8" w:space="0" w:color="000001"/>
            </w:tcBorders>
            <w:shd w:color="auto" w:fill="99CC66" w:val="clear"/>
          </w:tcPr>
          <w:p>
            <w:pPr>
              <w:pStyle w:val="Normal"/>
              <w:spacing w:lineRule="auto" w:line="276" w:before="240" w:after="240"/>
              <w:ind w:left="100" w:hanging="0"/>
              <w:jc w:val="center"/>
              <w:rPr>
                <w:b/>
                <w:b/>
              </w:rPr>
            </w:pPr>
            <w:r>
              <w:rPr>
                <w:b/>
              </w:rPr>
              <w:t>ITEM</w:t>
            </w:r>
          </w:p>
        </w:tc>
        <w:tc>
          <w:tcPr>
            <w:tcW w:w="6262" w:type="dxa"/>
            <w:tcBorders>
              <w:top w:val="single" w:sz="8" w:space="0" w:color="000001"/>
              <w:left w:val="single" w:sz="8" w:space="0" w:color="000001"/>
              <w:bottom w:val="single" w:sz="8" w:space="0" w:color="000001"/>
              <w:right w:val="single" w:sz="8" w:space="0" w:color="000001"/>
            </w:tcBorders>
            <w:shd w:color="auto" w:fill="99CC66" w:val="clear"/>
          </w:tcPr>
          <w:p>
            <w:pPr>
              <w:pStyle w:val="Normal"/>
              <w:spacing w:lineRule="auto" w:line="276" w:before="240" w:after="240"/>
              <w:ind w:left="100" w:hanging="0"/>
              <w:jc w:val="center"/>
              <w:rPr>
                <w:b/>
                <w:b/>
              </w:rPr>
            </w:pPr>
            <w:r>
              <w:rPr>
                <w:b/>
              </w:rPr>
              <w:t>DESCRIÇÃO</w:t>
            </w:r>
          </w:p>
        </w:tc>
      </w:tr>
      <w:tr>
        <w:trPr>
          <w:trHeight w:val="1115"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 xml:space="preserve"> </w:t>
            </w:r>
            <w:r>
              <w:rPr>
                <w:b/>
              </w:rPr>
              <w:t>Finalidade</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t>Mensurar os serviços prestados, de modo que atendam o nível de quantidade e qualidade estabelecido nos estudos preliminares e termo de referência.</w:t>
            </w:r>
          </w:p>
        </w:tc>
      </w:tr>
      <w:tr>
        <w:trPr>
          <w:trHeight w:val="815"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Meta a cumprir</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t>Serviços prestados com excelência, de modo que a referida execução será realizada de modo inaudito.</w:t>
            </w:r>
          </w:p>
        </w:tc>
      </w:tr>
      <w:tr>
        <w:trPr>
          <w:trHeight w:val="1115"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 xml:space="preserve"> </w:t>
            </w:r>
            <w:r>
              <w:rPr>
                <w:b/>
              </w:rPr>
              <w:t>Instrumento de medição</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t>Pesquisa de satisfação por meio de formulário eletrônico.</w:t>
            </w:r>
          </w:p>
        </w:tc>
      </w:tr>
      <w:tr>
        <w:trPr>
          <w:trHeight w:val="695"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Forma de acompanhamento</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u w:val="single"/>
              </w:rPr>
            </w:pPr>
            <w:r>
              <w:rPr/>
              <w:t xml:space="preserve">Aplicação de pesquisa de satisfação por meio de formulário eletrônico disponibilizado pelo </w:t>
            </w:r>
            <w:r>
              <w:rPr>
                <w:u w:val="single"/>
              </w:rPr>
              <w:t>Fiscal Técnico.</w:t>
            </w:r>
          </w:p>
        </w:tc>
      </w:tr>
      <w:tr>
        <w:trPr>
          <w:trHeight w:val="515"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Periodicidade</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t>Mensal</w:t>
            </w:r>
          </w:p>
        </w:tc>
      </w:tr>
      <w:tr>
        <w:trPr>
          <w:trHeight w:val="755"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Mecanismo de Cálculo</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00" w:hanging="0"/>
              <w:jc w:val="both"/>
              <w:rPr>
                <w:b/>
                <w:b/>
                <w:sz w:val="22"/>
                <w:szCs w:val="22"/>
              </w:rPr>
            </w:pPr>
            <w:r>
              <w:rPr/>
              <w:t>Descrita na planilha de avaliação da qualidade dos serviços prestados</w:t>
            </w:r>
          </w:p>
        </w:tc>
      </w:tr>
      <w:tr>
        <w:trPr>
          <w:trHeight w:val="560"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Início de Vigência</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t>A partir do início da prestação do serviço.</w:t>
            </w:r>
          </w:p>
        </w:tc>
      </w:tr>
      <w:tr>
        <w:trPr>
          <w:trHeight w:val="1565"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 xml:space="preserve"> </w:t>
            </w:r>
          </w:p>
          <w:p>
            <w:pPr>
              <w:pStyle w:val="Normal"/>
              <w:spacing w:lineRule="auto" w:line="276" w:before="240" w:after="240"/>
              <w:ind w:left="100" w:hanging="0"/>
              <w:jc w:val="both"/>
              <w:rPr>
                <w:b/>
                <w:b/>
              </w:rPr>
            </w:pPr>
            <w:r>
              <w:rPr>
                <w:b/>
              </w:rPr>
              <w:t xml:space="preserve"> </w:t>
            </w:r>
          </w:p>
          <w:p>
            <w:pPr>
              <w:pStyle w:val="Normal"/>
              <w:spacing w:lineRule="auto" w:line="276" w:before="240" w:after="240"/>
              <w:ind w:left="100" w:hanging="0"/>
              <w:jc w:val="both"/>
              <w:rPr>
                <w:b/>
                <w:b/>
              </w:rPr>
            </w:pPr>
            <w:r>
              <w:rPr>
                <w:b/>
              </w:rPr>
              <w:t>Faixas de ajuste no pagamento</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t>De 0 a 25 Pontos conforme resultados da pesquisa. Sendo a pontuação 0 (zero) correspondente ao serviço completamente insatisfatório (I); de 1 (um) a 10(dez) correspondente ao serviço regular (R); 11(onze) a 20 (vinte) correspondente ao serviço bom (B) e de 21 (vinte e um) a 25 (vinte e cinco) correspondente ao serviço ótimo (O).</w:t>
            </w:r>
          </w:p>
        </w:tc>
      </w:tr>
      <w:tr>
        <w:trPr>
          <w:trHeight w:val="830" w:hRule="atLeast"/>
        </w:trPr>
        <w:tc>
          <w:tcPr>
            <w:tcW w:w="3322"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Sanções aplicadas na primeira constatação</w:t>
            </w:r>
          </w:p>
        </w:tc>
        <w:tc>
          <w:tcPr>
            <w:tcW w:w="6262"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00" w:hanging="0"/>
              <w:jc w:val="both"/>
              <w:rPr>
                <w:b/>
                <w:b/>
                <w:sz w:val="22"/>
                <w:szCs w:val="22"/>
              </w:rPr>
            </w:pPr>
            <w:r>
              <w:rPr/>
              <w:t>Conforme Item 21 do Termo de Referência</w:t>
            </w:r>
          </w:p>
        </w:tc>
      </w:tr>
      <w:tr>
        <w:trPr>
          <w:trHeight w:val="935" w:hRule="atLeast"/>
        </w:trPr>
        <w:tc>
          <w:tcPr>
            <w:tcW w:w="325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b/>
              </w:rPr>
              <w:t xml:space="preserve"> </w:t>
            </w:r>
          </w:p>
          <w:p>
            <w:pPr>
              <w:pStyle w:val="Normal"/>
              <w:spacing w:lineRule="auto" w:line="276" w:before="240" w:after="240"/>
              <w:ind w:left="100" w:hanging="0"/>
              <w:jc w:val="both"/>
              <w:rPr>
                <w:b/>
                <w:b/>
              </w:rPr>
            </w:pPr>
            <w:r>
              <w:rPr>
                <w:b/>
              </w:rPr>
              <w:t>Observações</w:t>
            </w:r>
          </w:p>
        </w:tc>
        <w:tc>
          <w:tcPr>
            <w:tcW w:w="6329"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highlight w:val="yellow"/>
              </w:rPr>
            </w:pPr>
            <w:r>
              <w:rPr/>
              <w:t>Os quesitos a serem avaliados neste indicador encontram-se na planilha de avaliação sendo esta anexa (I – E1) ao Instrumento de Medição de Resultados (IMR).</w:t>
            </w:r>
          </w:p>
        </w:tc>
      </w:tr>
      <w:tr>
        <w:trPr>
          <w:trHeight w:val="1340" w:hRule="atLeast"/>
        </w:trPr>
        <w:tc>
          <w:tcPr>
            <w:tcW w:w="325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 xml:space="preserve"> </w:t>
            </w:r>
          </w:p>
          <w:p>
            <w:pPr>
              <w:pStyle w:val="Normal"/>
              <w:spacing w:lineRule="auto" w:line="276" w:before="240" w:after="240"/>
              <w:ind w:left="100" w:hanging="0"/>
              <w:jc w:val="both"/>
              <w:rPr>
                <w:b/>
                <w:b/>
              </w:rPr>
            </w:pPr>
            <w:r>
              <w:rPr>
                <w:b/>
              </w:rPr>
              <w:t>Demais Observações</w:t>
            </w:r>
          </w:p>
        </w:tc>
        <w:tc>
          <w:tcPr>
            <w:tcW w:w="6329"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00" w:hanging="0"/>
              <w:jc w:val="both"/>
              <w:rPr>
                <w:b/>
                <w:b/>
                <w:sz w:val="22"/>
                <w:szCs w:val="22"/>
              </w:rPr>
            </w:pPr>
            <w:r>
              <w:rPr/>
              <w:t>O que se busca com esse indicador é obter ciência e comprometimento quanto à resolução das demandas levantadas pela contratante o mais breve possível, mesmo que a resolução definitiva de determinada.</w:t>
            </w:r>
          </w:p>
        </w:tc>
      </w:tr>
    </w:tbl>
    <w:p>
      <w:pPr>
        <w:pStyle w:val="Normal"/>
        <w:spacing w:lineRule="auto" w:line="276" w:before="240" w:after="0"/>
        <w:jc w:val="both"/>
        <w:rPr>
          <w:b/>
          <w:b/>
          <w:sz w:val="21"/>
          <w:szCs w:val="21"/>
        </w:rPr>
      </w:pPr>
      <w:r>
        <w:rPr>
          <w:b/>
          <w:sz w:val="22"/>
          <w:szCs w:val="22"/>
        </w:rPr>
        <w:t xml:space="preserve"> </w:t>
      </w:r>
    </w:p>
    <w:p>
      <w:pPr>
        <w:pStyle w:val="Normal"/>
        <w:spacing w:before="240" w:after="240"/>
        <w:jc w:val="both"/>
        <w:rPr>
          <w:b/>
          <w:b/>
          <w:sz w:val="22"/>
          <w:szCs w:val="22"/>
        </w:rPr>
      </w:pPr>
      <w:r>
        <w:rPr>
          <w:b/>
          <w:sz w:val="22"/>
          <w:szCs w:val="22"/>
        </w:rPr>
        <w:t>3</w:t>
      </w:r>
      <w:r>
        <w:rPr>
          <w:b/>
          <w:sz w:val="14"/>
          <w:szCs w:val="14"/>
        </w:rPr>
        <w:t xml:space="preserve">. </w:t>
      </w:r>
      <w:r>
        <w:rPr>
          <w:b/>
          <w:sz w:val="22"/>
          <w:szCs w:val="22"/>
        </w:rPr>
        <w:t>DO CÁLCULO PARA PAGAMENTO</w:t>
      </w:r>
    </w:p>
    <w:p>
      <w:pPr>
        <w:pStyle w:val="Normal"/>
        <w:spacing w:before="240" w:after="240"/>
        <w:jc w:val="both"/>
        <w:rPr>
          <w:b/>
          <w:b/>
          <w:sz w:val="22"/>
          <w:szCs w:val="22"/>
        </w:rPr>
      </w:pPr>
      <w:r>
        <w:rPr>
          <w:sz w:val="22"/>
          <w:szCs w:val="22"/>
        </w:rPr>
        <w:t>3.1</w:t>
      </w:r>
      <w:r>
        <w:rPr>
          <w:sz w:val="14"/>
          <w:szCs w:val="14"/>
        </w:rPr>
        <w:t xml:space="preserve">. </w:t>
      </w:r>
      <w:r>
        <w:rPr>
          <w:sz w:val="22"/>
          <w:szCs w:val="22"/>
        </w:rPr>
        <w:t>As pontuações relativas à aferição de qualidade devem ser totalizadas para o mês de referência, conforme especificações apresentadas nas tabelas acima.</w:t>
      </w:r>
    </w:p>
    <w:p>
      <w:pPr>
        <w:pStyle w:val="Normal"/>
        <w:spacing w:lineRule="auto" w:line="276" w:before="240" w:after="0"/>
        <w:jc w:val="both"/>
        <w:rPr>
          <w:sz w:val="22"/>
          <w:szCs w:val="22"/>
        </w:rPr>
      </w:pPr>
      <w:r>
        <w:rPr>
          <w:sz w:val="22"/>
          <w:szCs w:val="22"/>
        </w:rPr>
        <w:t xml:space="preserve"> </w:t>
      </w:r>
      <w:r>
        <w:rPr>
          <w:sz w:val="22"/>
          <w:szCs w:val="22"/>
        </w:rPr>
        <w:t>3.2 A aplicação dos critérios de averiguação da qualidade resultará em uma pontuação final no intervalo de 0 (zero) a 100 (cem) pontos, correspondente à soma das pontuações obtidas para cada indicador, conforme fórmula abaixo:</w:t>
      </w:r>
    </w:p>
    <w:p>
      <w:pPr>
        <w:pStyle w:val="Normal"/>
        <w:widowControl/>
        <w:suppressAutoHyphens w:val="true"/>
        <w:bidi w:val="0"/>
        <w:spacing w:before="240" w:after="240"/>
        <w:ind w:left="567" w:right="0" w:hanging="0"/>
        <w:jc w:val="both"/>
        <w:rPr>
          <w:b/>
          <w:b/>
          <w:sz w:val="22"/>
          <w:szCs w:val="22"/>
        </w:rPr>
      </w:pPr>
      <w:r>
        <w:rPr>
          <w:sz w:val="22"/>
          <w:szCs w:val="22"/>
        </w:rPr>
        <w:t xml:space="preserve">3.2.1 Pontuação total: Pontos Indicador 1 + Pontos Indicador 2 </w:t>
      </w:r>
    </w:p>
    <w:p>
      <w:pPr>
        <w:pStyle w:val="Normal"/>
        <w:spacing w:before="240" w:after="240"/>
        <w:jc w:val="both"/>
        <w:rPr>
          <w:b/>
          <w:b/>
          <w:sz w:val="22"/>
          <w:szCs w:val="22"/>
        </w:rPr>
      </w:pPr>
      <w:r>
        <w:rPr>
          <w:sz w:val="22"/>
          <w:szCs w:val="22"/>
        </w:rPr>
        <w:t xml:space="preserve"> </w:t>
      </w:r>
      <w:r>
        <w:rPr>
          <w:sz w:val="22"/>
          <w:szCs w:val="22"/>
        </w:rPr>
        <w:t>3.3</w:t>
      </w:r>
      <w:r>
        <w:rPr>
          <w:sz w:val="14"/>
          <w:szCs w:val="14"/>
        </w:rPr>
        <w:t xml:space="preserve">. </w:t>
      </w:r>
      <w:r>
        <w:rPr>
          <w:sz w:val="22"/>
          <w:szCs w:val="22"/>
        </w:rPr>
        <w:t xml:space="preserve">Os pagamentos devidos à contratada, relativos a cada mês de referência, devem ser calculados conforme pontuação total do serviço mês a </w:t>
      </w:r>
      <w:r>
        <w:rPr>
          <w:sz w:val="24"/>
          <w:szCs w:val="24"/>
          <w:u w:val="single"/>
        </w:rPr>
        <w:t>mês em consonância com a tabela e formulas abaixo:</w:t>
      </w:r>
    </w:p>
    <w:p>
      <w:pPr>
        <w:pStyle w:val="Normal"/>
        <w:spacing w:lineRule="auto" w:line="276" w:before="240" w:after="0"/>
        <w:jc w:val="both"/>
        <w:rPr>
          <w:b/>
          <w:b/>
          <w:sz w:val="22"/>
          <w:szCs w:val="22"/>
        </w:rPr>
      </w:pPr>
      <w:r>
        <w:rPr>
          <w:b/>
          <w:sz w:val="22"/>
          <w:szCs w:val="22"/>
        </w:rPr>
        <w:t xml:space="preserve"> </w:t>
      </w:r>
    </w:p>
    <w:tbl>
      <w:tblPr>
        <w:tblW w:w="9615" w:type="dxa"/>
        <w:jc w:val="left"/>
        <w:tblInd w:w="0" w:type="dxa"/>
        <w:tblCellMar>
          <w:top w:w="100" w:type="dxa"/>
          <w:left w:w="10" w:type="dxa"/>
          <w:bottom w:w="100" w:type="dxa"/>
          <w:right w:w="10" w:type="dxa"/>
        </w:tblCellMar>
        <w:tblLook w:firstRow="0" w:noVBand="1" w:lastRow="0" w:firstColumn="0" w:lastColumn="0" w:noHBand="1" w:val="0600"/>
      </w:tblPr>
      <w:tblGrid>
        <w:gridCol w:w="3195"/>
        <w:gridCol w:w="3207"/>
        <w:gridCol w:w="3213"/>
      </w:tblGrid>
      <w:tr>
        <w:trPr>
          <w:trHeight w:val="665" w:hRule="atLeast"/>
        </w:trPr>
        <w:tc>
          <w:tcPr>
            <w:tcW w:w="31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16"/>
                <w:szCs w:val="16"/>
              </w:rPr>
            </w:pPr>
            <w:r>
              <w:rPr>
                <w:b/>
                <w:sz w:val="16"/>
                <w:szCs w:val="16"/>
              </w:rPr>
              <w:t>FAIXAS DE PONTUAÇÃO DE QUALIDADE POR MÊS DE REFERÊNCIA</w:t>
            </w:r>
          </w:p>
        </w:tc>
        <w:tc>
          <w:tcPr>
            <w:tcW w:w="320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16"/>
                <w:szCs w:val="16"/>
              </w:rPr>
            </w:pPr>
            <w:r>
              <w:rPr>
                <w:b/>
                <w:sz w:val="16"/>
                <w:szCs w:val="16"/>
              </w:rPr>
              <w:t>PERCENTUAL PARA PAGAMENTO</w:t>
            </w:r>
          </w:p>
        </w:tc>
        <w:tc>
          <w:tcPr>
            <w:tcW w:w="32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sz w:val="16"/>
                <w:szCs w:val="16"/>
              </w:rPr>
            </w:pPr>
            <w:r>
              <w:rPr>
                <w:b/>
                <w:sz w:val="16"/>
                <w:szCs w:val="16"/>
              </w:rPr>
              <w:t>FATOR DE AJUSTE DE NÍVEL DE SERVIÇO</w:t>
            </w:r>
          </w:p>
        </w:tc>
      </w:tr>
      <w:tr>
        <w:trPr>
          <w:trHeight w:val="530" w:hRule="atLeast"/>
        </w:trPr>
        <w:tc>
          <w:tcPr>
            <w:tcW w:w="31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De 80 a 100 pontos</w:t>
            </w:r>
          </w:p>
        </w:tc>
        <w:tc>
          <w:tcPr>
            <w:tcW w:w="320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100% do valor previsto</w:t>
            </w:r>
          </w:p>
        </w:tc>
        <w:tc>
          <w:tcPr>
            <w:tcW w:w="32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1,00</w:t>
            </w:r>
          </w:p>
        </w:tc>
      </w:tr>
      <w:tr>
        <w:trPr>
          <w:trHeight w:val="530" w:hRule="atLeast"/>
        </w:trPr>
        <w:tc>
          <w:tcPr>
            <w:tcW w:w="31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De 70 a 79 pontos</w:t>
            </w:r>
          </w:p>
        </w:tc>
        <w:tc>
          <w:tcPr>
            <w:tcW w:w="320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97% do valor previsto</w:t>
            </w:r>
          </w:p>
        </w:tc>
        <w:tc>
          <w:tcPr>
            <w:tcW w:w="32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0,97</w:t>
            </w:r>
          </w:p>
        </w:tc>
      </w:tr>
      <w:tr>
        <w:trPr>
          <w:trHeight w:val="530" w:hRule="atLeast"/>
        </w:trPr>
        <w:tc>
          <w:tcPr>
            <w:tcW w:w="31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De 60 a 69 pontos</w:t>
            </w:r>
          </w:p>
        </w:tc>
        <w:tc>
          <w:tcPr>
            <w:tcW w:w="320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95% do valor previsto</w:t>
            </w:r>
          </w:p>
        </w:tc>
        <w:tc>
          <w:tcPr>
            <w:tcW w:w="32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0,95</w:t>
            </w:r>
          </w:p>
        </w:tc>
      </w:tr>
      <w:tr>
        <w:trPr>
          <w:trHeight w:val="530" w:hRule="atLeast"/>
        </w:trPr>
        <w:tc>
          <w:tcPr>
            <w:tcW w:w="31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De 50 a 59 pontos</w:t>
            </w:r>
          </w:p>
        </w:tc>
        <w:tc>
          <w:tcPr>
            <w:tcW w:w="320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93% do valor previsto</w:t>
            </w:r>
          </w:p>
        </w:tc>
        <w:tc>
          <w:tcPr>
            <w:tcW w:w="32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0,93</w:t>
            </w:r>
          </w:p>
        </w:tc>
      </w:tr>
      <w:tr>
        <w:trPr>
          <w:trHeight w:val="530" w:hRule="atLeast"/>
        </w:trPr>
        <w:tc>
          <w:tcPr>
            <w:tcW w:w="31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De 40 a 49 pontos</w:t>
            </w:r>
          </w:p>
        </w:tc>
        <w:tc>
          <w:tcPr>
            <w:tcW w:w="320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90% do valor previsto</w:t>
            </w:r>
          </w:p>
        </w:tc>
        <w:tc>
          <w:tcPr>
            <w:tcW w:w="32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0,90</w:t>
            </w:r>
          </w:p>
        </w:tc>
      </w:tr>
      <w:tr>
        <w:trPr>
          <w:trHeight w:val="995" w:hRule="atLeast"/>
        </w:trPr>
        <w:tc>
          <w:tcPr>
            <w:tcW w:w="31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Abaixo de 40 pontos</w:t>
            </w:r>
          </w:p>
        </w:tc>
        <w:tc>
          <w:tcPr>
            <w:tcW w:w="320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90% do valor previsto + multa contratual a critério da Administração</w:t>
            </w:r>
          </w:p>
        </w:tc>
        <w:tc>
          <w:tcPr>
            <w:tcW w:w="32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20" w:hanging="0"/>
              <w:jc w:val="both"/>
              <w:rPr>
                <w:b/>
                <w:b/>
              </w:rPr>
            </w:pPr>
            <w:r>
              <w:rPr>
                <w:b/>
              </w:rPr>
              <w:t>0,90 + Avaliar necessidade de aplicação de multa contratual</w:t>
            </w:r>
          </w:p>
        </w:tc>
      </w:tr>
    </w:tbl>
    <w:p>
      <w:pPr>
        <w:pStyle w:val="Normal"/>
        <w:spacing w:lineRule="auto" w:line="276" w:before="240" w:after="0"/>
        <w:jc w:val="both"/>
        <w:rPr>
          <w:b/>
          <w:b/>
          <w:sz w:val="11"/>
          <w:szCs w:val="11"/>
        </w:rPr>
      </w:pPr>
      <w:r>
        <w:rPr>
          <w:b/>
          <w:sz w:val="11"/>
          <w:szCs w:val="11"/>
        </w:rPr>
        <w:t xml:space="preserve"> </w:t>
      </w:r>
    </w:p>
    <w:p>
      <w:pPr>
        <w:pStyle w:val="Normal"/>
        <w:spacing w:before="240" w:after="240"/>
        <w:jc w:val="both"/>
        <w:rPr>
          <w:b/>
          <w:b/>
          <w:sz w:val="22"/>
          <w:szCs w:val="22"/>
        </w:rPr>
      </w:pPr>
      <w:r>
        <w:rPr>
          <w:b/>
          <w:sz w:val="22"/>
          <w:szCs w:val="22"/>
        </w:rPr>
        <w:t>3.3.1</w:t>
      </w:r>
      <w:r>
        <w:rPr>
          <w:b/>
          <w:sz w:val="14"/>
          <w:szCs w:val="14"/>
        </w:rPr>
        <w:t xml:space="preserve">. </w:t>
      </w:r>
      <w:r>
        <w:rPr>
          <w:sz w:val="22"/>
          <w:szCs w:val="22"/>
        </w:rPr>
        <w:t>Desta feita, o valor para cada ordem de serviço será calculado conforme fórmula abaixo:</w:t>
      </w:r>
      <w:r>
        <w:rPr>
          <w:sz w:val="7"/>
          <w:szCs w:val="7"/>
        </w:rPr>
        <w:t xml:space="preserve"> </w:t>
      </w:r>
    </w:p>
    <w:p>
      <w:pPr>
        <w:pStyle w:val="Normal"/>
        <w:spacing w:before="240" w:after="240"/>
        <w:jc w:val="both"/>
        <w:rPr>
          <w:b/>
          <w:b/>
          <w:sz w:val="22"/>
          <w:szCs w:val="22"/>
        </w:rPr>
      </w:pPr>
      <w:r>
        <w:rPr>
          <w:sz w:val="22"/>
          <w:szCs w:val="22"/>
        </w:rPr>
        <w:t>3.3.2</w:t>
      </w:r>
      <w:r>
        <w:rPr>
          <w:sz w:val="14"/>
          <w:szCs w:val="14"/>
        </w:rPr>
        <w:t xml:space="preserve">. </w:t>
      </w:r>
      <w:r>
        <w:rPr>
          <w:sz w:val="22"/>
          <w:szCs w:val="22"/>
        </w:rPr>
        <w:t>A pontuação abaixo de 40 pontos por três vezes consecutivas poderá ensejar a rescisão do contrato, cabendo a decisão final à Autoridade administrativa competente de cada Unidade do IF Sertão – PE, sendo a decisão final baseada na análise da relação de prejuízos ao erário e da continuidade das atividades-meio e fim desta Administração.</w:t>
      </w:r>
    </w:p>
    <w:p>
      <w:pPr>
        <w:pStyle w:val="Normal"/>
        <w:spacing w:lineRule="auto" w:line="276" w:before="240" w:after="0"/>
        <w:jc w:val="both"/>
        <w:rPr>
          <w:b/>
          <w:b/>
          <w:sz w:val="24"/>
          <w:szCs w:val="24"/>
        </w:rPr>
      </w:pPr>
      <w:r>
        <w:rPr>
          <w:b/>
          <w:sz w:val="24"/>
          <w:szCs w:val="24"/>
        </w:rPr>
        <w:t xml:space="preserve"> </w:t>
      </w:r>
    </w:p>
    <w:p>
      <w:pPr>
        <w:pStyle w:val="Normal"/>
        <w:spacing w:before="240" w:after="240"/>
        <w:jc w:val="both"/>
        <w:rPr>
          <w:b/>
          <w:b/>
          <w:sz w:val="22"/>
          <w:szCs w:val="22"/>
        </w:rPr>
      </w:pPr>
      <w:r>
        <w:rPr>
          <w:b/>
          <w:sz w:val="22"/>
          <w:szCs w:val="22"/>
        </w:rPr>
        <w:t>4</w:t>
      </w:r>
      <w:r>
        <w:rPr>
          <w:b/>
          <w:sz w:val="14"/>
          <w:szCs w:val="14"/>
        </w:rPr>
        <w:t xml:space="preserve">. </w:t>
      </w:r>
      <w:r>
        <w:rPr>
          <w:b/>
          <w:sz w:val="22"/>
          <w:szCs w:val="22"/>
        </w:rPr>
        <w:t>CHECK – LIST DE AFERIÇÃO DO NÍVEL DOS SERVIÇOS</w:t>
      </w:r>
    </w:p>
    <w:p>
      <w:pPr>
        <w:pStyle w:val="Normal"/>
        <w:spacing w:lineRule="auto" w:line="276" w:before="240" w:after="0"/>
        <w:jc w:val="both"/>
        <w:rPr>
          <w:b/>
          <w:b/>
          <w:sz w:val="24"/>
          <w:szCs w:val="24"/>
        </w:rPr>
      </w:pPr>
      <w:r>
        <w:rPr>
          <w:b/>
          <w:sz w:val="24"/>
          <w:szCs w:val="24"/>
        </w:rPr>
      </w:r>
    </w:p>
    <w:tbl>
      <w:tblPr>
        <w:tblW w:w="9735" w:type="dxa"/>
        <w:jc w:val="left"/>
        <w:tblInd w:w="0" w:type="dxa"/>
        <w:tblCellMar>
          <w:top w:w="100" w:type="dxa"/>
          <w:left w:w="10" w:type="dxa"/>
          <w:bottom w:w="100" w:type="dxa"/>
          <w:right w:w="10" w:type="dxa"/>
        </w:tblCellMar>
        <w:tblLook w:firstRow="0" w:noVBand="1" w:lastRow="0" w:firstColumn="0" w:lastColumn="0" w:noHBand="1" w:val="0600"/>
      </w:tblPr>
      <w:tblGrid>
        <w:gridCol w:w="4364"/>
        <w:gridCol w:w="2970"/>
        <w:gridCol w:w="1005"/>
        <w:gridCol w:w="1395"/>
      </w:tblGrid>
      <w:tr>
        <w:trPr>
          <w:trHeight w:val="755" w:hRule="atLeast"/>
        </w:trPr>
        <w:tc>
          <w:tcPr>
            <w:tcW w:w="436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Indicador</w:t>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Critério (Faixas de Pontuação)</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Pontos</w:t>
            </w:r>
          </w:p>
        </w:tc>
        <w:tc>
          <w:tcPr>
            <w:tcW w:w="13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Avaliação</w:t>
            </w:r>
          </w:p>
        </w:tc>
      </w:tr>
      <w:tr>
        <w:trPr>
          <w:trHeight w:val="515" w:hRule="atLeast"/>
        </w:trPr>
        <w:tc>
          <w:tcPr>
            <w:tcW w:w="4364"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22"/>
                <w:szCs w:val="22"/>
              </w:rPr>
            </w:pPr>
            <w:r>
              <w:rPr>
                <w:b/>
                <w:sz w:val="22"/>
                <w:szCs w:val="22"/>
              </w:rPr>
              <w:t xml:space="preserve"> </w:t>
            </w:r>
          </w:p>
          <w:p>
            <w:pPr>
              <w:pStyle w:val="Normal"/>
              <w:spacing w:lineRule="auto" w:line="276" w:before="240" w:after="240"/>
              <w:ind w:left="100" w:hanging="0"/>
              <w:jc w:val="both"/>
              <w:rPr>
                <w:b/>
                <w:b/>
                <w:sz w:val="22"/>
                <w:szCs w:val="22"/>
              </w:rPr>
            </w:pPr>
            <w:r>
              <w:rPr>
                <w:b/>
                <w:sz w:val="22"/>
                <w:szCs w:val="22"/>
              </w:rPr>
              <w:t xml:space="preserve"> </w:t>
            </w:r>
          </w:p>
          <w:p>
            <w:pPr>
              <w:pStyle w:val="Normal"/>
              <w:spacing w:lineRule="auto" w:line="276" w:before="240" w:after="240"/>
              <w:ind w:left="100" w:hanging="0"/>
              <w:jc w:val="both"/>
              <w:rPr>
                <w:b/>
                <w:b/>
                <w:sz w:val="22"/>
                <w:szCs w:val="22"/>
              </w:rPr>
            </w:pPr>
            <w:r>
              <w:rPr>
                <w:b/>
                <w:sz w:val="22"/>
                <w:szCs w:val="22"/>
              </w:rPr>
              <w:t xml:space="preserve"> </w:t>
            </w:r>
          </w:p>
          <w:p>
            <w:pPr>
              <w:pStyle w:val="Normal"/>
              <w:spacing w:lineRule="auto" w:line="276" w:before="240" w:after="240"/>
              <w:ind w:left="100" w:hanging="0"/>
              <w:jc w:val="both"/>
              <w:rPr>
                <w:b/>
                <w:b/>
              </w:rPr>
            </w:pPr>
            <w:r>
              <w:rPr>
                <w:b/>
              </w:rPr>
              <w:t>1 – Tempo de resposta às solicitações da contratante</w:t>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Sem atrasos</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10</w:t>
            </w:r>
          </w:p>
        </w:tc>
        <w:tc>
          <w:tcPr>
            <w:tcW w:w="1395"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18"/>
                <w:szCs w:val="18"/>
              </w:rPr>
            </w:pPr>
            <w:r>
              <w:rPr>
                <w:b/>
                <w:sz w:val="18"/>
                <w:szCs w:val="18"/>
              </w:rPr>
              <w:t xml:space="preserve"> </w:t>
            </w:r>
          </w:p>
        </w:tc>
      </w:tr>
      <w:tr>
        <w:trPr>
          <w:trHeight w:val="515" w:hRule="atLeast"/>
        </w:trPr>
        <w:tc>
          <w:tcPr>
            <w:tcW w:w="4364"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1 resposta com atraso</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8</w:t>
            </w:r>
          </w:p>
        </w:tc>
        <w:tc>
          <w:tcPr>
            <w:tcW w:w="1395"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2 respostas com atraso</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6</w:t>
            </w:r>
          </w:p>
        </w:tc>
        <w:tc>
          <w:tcPr>
            <w:tcW w:w="1395"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3 respostas com atraso</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4</w:t>
            </w:r>
          </w:p>
        </w:tc>
        <w:tc>
          <w:tcPr>
            <w:tcW w:w="1395"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4 respostas com atraso</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2</w:t>
            </w:r>
          </w:p>
        </w:tc>
        <w:tc>
          <w:tcPr>
            <w:tcW w:w="1395"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r>
      <w:tr>
        <w:trPr>
          <w:trHeight w:val="755" w:hRule="atLeast"/>
        </w:trPr>
        <w:tc>
          <w:tcPr>
            <w:tcW w:w="4364"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5 respostas com atraso ou mais</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0</w:t>
            </w:r>
          </w:p>
        </w:tc>
        <w:tc>
          <w:tcPr>
            <w:tcW w:w="1395"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2 – Atraso no pagamento de salários e outros benefícios;</w:t>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Sem ocorrências</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35</w:t>
            </w:r>
          </w:p>
        </w:tc>
        <w:tc>
          <w:tcPr>
            <w:tcW w:w="1395"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18"/>
                <w:szCs w:val="18"/>
              </w:rPr>
            </w:pPr>
            <w:r>
              <w:rPr>
                <w:b/>
                <w:sz w:val="18"/>
                <w:szCs w:val="18"/>
              </w:rPr>
              <w:t xml:space="preserve"> </w:t>
            </w:r>
          </w:p>
        </w:tc>
      </w:tr>
      <w:tr>
        <w:trPr>
          <w:trHeight w:val="635" w:hRule="atLeast"/>
        </w:trPr>
        <w:tc>
          <w:tcPr>
            <w:tcW w:w="4364"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Uma ou mais ocorrências</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0</w:t>
            </w:r>
          </w:p>
        </w:tc>
        <w:tc>
          <w:tcPr>
            <w:tcW w:w="1395"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ind w:left="100" w:hanging="0"/>
              <w:rPr>
                <w:b/>
                <w:b/>
                <w:sz w:val="22"/>
                <w:szCs w:val="22"/>
              </w:rPr>
            </w:pPr>
            <w:r>
              <w:rPr>
                <w:b/>
                <w:sz w:val="22"/>
                <w:szCs w:val="22"/>
              </w:rPr>
            </w:r>
          </w:p>
        </w:tc>
      </w:tr>
      <w:tr>
        <w:trPr>
          <w:trHeight w:val="755" w:hRule="atLeast"/>
        </w:trPr>
        <w:tc>
          <w:tcPr>
            <w:tcW w:w="4364"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3 – Qualidade dos serviços prestados;</w:t>
            </w:r>
          </w:p>
        </w:tc>
        <w:tc>
          <w:tcPr>
            <w:tcW w:w="297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Conforme resultados da pesquisa</w:t>
            </w:r>
          </w:p>
        </w:tc>
        <w:tc>
          <w:tcPr>
            <w:tcW w:w="100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0 – 25</w:t>
            </w:r>
          </w:p>
        </w:tc>
        <w:tc>
          <w:tcPr>
            <w:tcW w:w="13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18"/>
                <w:szCs w:val="18"/>
              </w:rPr>
            </w:pPr>
            <w:r>
              <w:rPr>
                <w:b/>
                <w:sz w:val="18"/>
                <w:szCs w:val="18"/>
              </w:rPr>
              <w:t xml:space="preserve"> </w:t>
            </w:r>
          </w:p>
        </w:tc>
      </w:tr>
      <w:tr>
        <w:trPr>
          <w:trHeight w:val="545" w:hRule="atLeast"/>
        </w:trPr>
        <w:tc>
          <w:tcPr>
            <w:tcW w:w="8339" w:type="dxa"/>
            <w:gridSpan w:val="3"/>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Pontuação Total do Serviço</w:t>
            </w:r>
          </w:p>
        </w:tc>
        <w:tc>
          <w:tcPr>
            <w:tcW w:w="1395"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18"/>
                <w:szCs w:val="18"/>
              </w:rPr>
            </w:pPr>
            <w:r>
              <w:rPr>
                <w:b/>
                <w:sz w:val="18"/>
                <w:szCs w:val="18"/>
              </w:rPr>
              <w:t xml:space="preserve"> </w:t>
            </w:r>
          </w:p>
        </w:tc>
      </w:tr>
    </w:tbl>
    <w:p>
      <w:pPr>
        <w:pStyle w:val="Normal"/>
        <w:spacing w:lineRule="auto" w:line="276" w:before="240" w:after="0"/>
        <w:jc w:val="center"/>
        <w:rPr>
          <w:b/>
          <w:b/>
          <w:sz w:val="22"/>
          <w:szCs w:val="22"/>
        </w:rPr>
      </w:pPr>
      <w:r>
        <w:rPr>
          <w:b/>
          <w:sz w:val="15"/>
          <w:szCs w:val="15"/>
        </w:rPr>
        <w:t xml:space="preserve"> </w:t>
      </w:r>
    </w:p>
    <w:p>
      <w:pPr>
        <w:pStyle w:val="Normal"/>
        <w:spacing w:lineRule="auto" w:line="276" w:before="240" w:after="0"/>
        <w:jc w:val="center"/>
        <w:rPr>
          <w:b/>
          <w:b/>
          <w:sz w:val="22"/>
          <w:szCs w:val="22"/>
        </w:rPr>
      </w:pPr>
      <w:bookmarkStart w:id="19" w:name="_2wjjykbyw2ma"/>
      <w:bookmarkEnd w:id="19"/>
      <w:r>
        <w:rPr>
          <w:rFonts w:eastAsia="Arial" w:cs="Arial"/>
          <w:b/>
          <w:color w:val="000000"/>
          <w:sz w:val="46"/>
          <w:szCs w:val="46"/>
        </w:rPr>
        <w:t>ANEXO I – E1</w:t>
      </w:r>
    </w:p>
    <w:p>
      <w:pPr>
        <w:pStyle w:val="Normal"/>
        <w:spacing w:lineRule="auto" w:line="276" w:before="240" w:after="0"/>
        <w:jc w:val="both"/>
        <w:rPr>
          <w:b/>
          <w:b/>
          <w:sz w:val="19"/>
          <w:szCs w:val="19"/>
        </w:rPr>
      </w:pPr>
      <w:r>
        <w:rPr>
          <w:b/>
          <w:sz w:val="19"/>
          <w:szCs w:val="19"/>
        </w:rPr>
      </w:r>
    </w:p>
    <w:tbl>
      <w:tblPr>
        <w:tblW w:w="9285" w:type="dxa"/>
        <w:jc w:val="left"/>
        <w:tblInd w:w="0" w:type="dxa"/>
        <w:tblCellMar>
          <w:top w:w="100" w:type="dxa"/>
          <w:left w:w="7" w:type="dxa"/>
          <w:bottom w:w="100" w:type="dxa"/>
          <w:right w:w="77" w:type="dxa"/>
        </w:tblCellMar>
        <w:tblLook w:firstRow="0" w:noVBand="1" w:lastRow="0" w:firstColumn="0" w:lastColumn="0" w:noHBand="1" w:val="0600"/>
      </w:tblPr>
      <w:tblGrid>
        <w:gridCol w:w="2934"/>
        <w:gridCol w:w="3142"/>
        <w:gridCol w:w="3208"/>
      </w:tblGrid>
      <w:tr>
        <w:trPr>
          <w:trHeight w:val="785" w:hRule="atLeast"/>
        </w:trPr>
        <w:tc>
          <w:tcPr>
            <w:tcW w:w="9284" w:type="dxa"/>
            <w:gridSpan w:val="3"/>
            <w:tcBorders>
              <w:top w:val="single" w:sz="6" w:space="0" w:color="000001"/>
              <w:left w:val="single" w:sz="6" w:space="0" w:color="000001"/>
              <w:bottom w:val="single" w:sz="6" w:space="0" w:color="000001"/>
              <w:right w:val="single" w:sz="6" w:space="0" w:color="000001"/>
            </w:tcBorders>
            <w:shd w:fill="auto" w:val="clear"/>
            <w:vAlign w:val="bottom"/>
          </w:tcPr>
          <w:p>
            <w:pPr>
              <w:pStyle w:val="Normal"/>
              <w:spacing w:lineRule="auto" w:line="276" w:before="240" w:after="240"/>
              <w:ind w:left="100" w:right="-67" w:hanging="0"/>
              <w:jc w:val="both"/>
              <w:rPr>
                <w:b/>
                <w:b/>
              </w:rPr>
            </w:pPr>
            <w:r>
              <w:rPr>
                <w:b/>
              </w:rPr>
              <w:t xml:space="preserve">PLANILHA   </w:t>
              <w:tab/>
              <w:t xml:space="preserve">DE AVALIAÇÃO           </w:t>
              <w:tab/>
              <w:t xml:space="preserve">DA      </w:t>
              <w:tab/>
              <w:t xml:space="preserve">QUALIDADE </w:t>
              <w:tab/>
              <w:t xml:space="preserve">DOS   </w:t>
              <w:tab/>
              <w:t>SERVIÇOS APOIO ADMINISTRATIVO PRESTADOS</w:t>
            </w:r>
          </w:p>
        </w:tc>
      </w:tr>
      <w:tr>
        <w:trPr>
          <w:trHeight w:val="515" w:hRule="atLeast"/>
        </w:trPr>
        <w:tc>
          <w:tcPr>
            <w:tcW w:w="9284" w:type="dxa"/>
            <w:gridSpan w:val="3"/>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Unidade:</w:t>
            </w:r>
          </w:p>
        </w:tc>
      </w:tr>
      <w:tr>
        <w:trPr>
          <w:trHeight w:val="515" w:hRule="atLeast"/>
        </w:trPr>
        <w:tc>
          <w:tcPr>
            <w:tcW w:w="9284" w:type="dxa"/>
            <w:gridSpan w:val="3"/>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Nº Contrato:</w:t>
            </w:r>
          </w:p>
        </w:tc>
      </w:tr>
      <w:tr>
        <w:trPr>
          <w:trHeight w:val="515" w:hRule="atLeast"/>
        </w:trPr>
        <w:tc>
          <w:tcPr>
            <w:tcW w:w="9284" w:type="dxa"/>
            <w:gridSpan w:val="3"/>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Órgão Gerenciador:</w:t>
            </w:r>
          </w:p>
        </w:tc>
      </w:tr>
      <w:tr>
        <w:trPr>
          <w:trHeight w:val="515" w:hRule="atLeast"/>
        </w:trPr>
        <w:tc>
          <w:tcPr>
            <w:tcW w:w="2934"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Contratada:</w:t>
            </w:r>
          </w:p>
        </w:tc>
        <w:tc>
          <w:tcPr>
            <w:tcW w:w="6350" w:type="dxa"/>
            <w:gridSpan w:val="2"/>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Mês de referência:</w:t>
            </w:r>
          </w:p>
        </w:tc>
      </w:tr>
      <w:tr>
        <w:trPr>
          <w:trHeight w:val="935" w:hRule="atLeast"/>
        </w:trPr>
        <w:tc>
          <w:tcPr>
            <w:tcW w:w="9284" w:type="dxa"/>
            <w:gridSpan w:val="3"/>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Legenda do Grau de Satisfação:</w:t>
            </w:r>
          </w:p>
          <w:p>
            <w:pPr>
              <w:pStyle w:val="Normal"/>
              <w:spacing w:lineRule="auto" w:line="276" w:before="240" w:after="240"/>
              <w:ind w:left="100" w:hanging="0"/>
              <w:jc w:val="both"/>
              <w:rPr>
                <w:b/>
                <w:b/>
              </w:rPr>
            </w:pPr>
            <w:r>
              <w:rPr>
                <w:b/>
              </w:rPr>
              <w:t>O = ótimo; B = Bom; R = regular; I = insatisfatório; e N = não se aplica.</w:t>
            </w:r>
          </w:p>
        </w:tc>
      </w:tr>
      <w:tr>
        <w:trPr>
          <w:trHeight w:val="935" w:hRule="atLeast"/>
        </w:trPr>
        <w:tc>
          <w:tcPr>
            <w:tcW w:w="6076" w:type="dxa"/>
            <w:gridSpan w:val="2"/>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Descrição</w:t>
            </w:r>
          </w:p>
        </w:tc>
        <w:tc>
          <w:tcPr>
            <w:tcW w:w="3208"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rPr>
            </w:pPr>
            <w:r>
              <w:rPr>
                <w:b/>
              </w:rPr>
              <w:t>Grau de Satisfação</w:t>
            </w:r>
          </w:p>
        </w:tc>
      </w:tr>
      <w:tr>
        <w:trPr>
          <w:trHeight w:val="1805" w:hRule="atLeast"/>
        </w:trPr>
        <w:tc>
          <w:tcPr>
            <w:tcW w:w="6076" w:type="dxa"/>
            <w:gridSpan w:val="2"/>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b/>
                <w:b/>
                <w:sz w:val="22"/>
                <w:szCs w:val="22"/>
              </w:rPr>
            </w:pPr>
            <w:r>
              <w:rPr>
                <w:b/>
              </w:rPr>
              <w:t>Organização técnica e administrativa dos serviços, de modo a conduzi-los eficaz e eficientemente, de acordo com os documentos e especificações que integram este Termo de Referência, no prazo determinado.</w:t>
            </w:r>
          </w:p>
        </w:tc>
        <w:tc>
          <w:tcPr>
            <w:tcW w:w="3208"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bl>
    <w:p>
      <w:pPr>
        <w:pStyle w:val="Normal"/>
        <w:spacing w:lineRule="auto" w:line="276" w:before="240" w:after="0"/>
        <w:jc w:val="both"/>
        <w:rPr>
          <w:b/>
          <w:b/>
          <w:sz w:val="22"/>
          <w:szCs w:val="22"/>
        </w:rPr>
      </w:pPr>
      <w:r>
        <w:rPr>
          <w:rFonts w:eastAsia="Times New Roman" w:cs="Times New Roman" w:ascii="Times New Roman" w:hAnsi="Times New Roman"/>
          <w:b/>
          <w:sz w:val="24"/>
          <w:szCs w:val="24"/>
        </w:rPr>
        <w:t xml:space="preserve"> </w:t>
      </w:r>
    </w:p>
    <w:tbl>
      <w:tblPr>
        <w:tblW w:w="9285" w:type="dxa"/>
        <w:jc w:val="left"/>
        <w:tblInd w:w="0" w:type="dxa"/>
        <w:tblCellMar>
          <w:top w:w="100" w:type="dxa"/>
          <w:left w:w="10" w:type="dxa"/>
          <w:bottom w:w="100" w:type="dxa"/>
          <w:right w:w="10" w:type="dxa"/>
        </w:tblCellMar>
        <w:tblLook w:firstRow="0" w:noVBand="1" w:lastRow="0" w:firstColumn="0" w:lastColumn="0" w:noHBand="1" w:val="0600"/>
      </w:tblPr>
      <w:tblGrid>
        <w:gridCol w:w="5713"/>
        <w:gridCol w:w="961"/>
        <w:gridCol w:w="910"/>
        <w:gridCol w:w="753"/>
        <w:gridCol w:w="948"/>
      </w:tblGrid>
      <w:tr>
        <w:trPr>
          <w:trHeight w:val="755" w:hRule="atLeast"/>
        </w:trPr>
        <w:tc>
          <w:tcPr>
            <w:tcW w:w="6674"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Executar os serviços conforme especificações deste Termo de Referência e de sua proposta.</w:t>
            </w:r>
          </w:p>
        </w:tc>
        <w:tc>
          <w:tcPr>
            <w:tcW w:w="2611" w:type="dxa"/>
            <w:gridSpan w:val="3"/>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r>
        <w:trPr>
          <w:trHeight w:val="1265" w:hRule="atLeast"/>
        </w:trPr>
        <w:tc>
          <w:tcPr>
            <w:tcW w:w="6674"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 xml:space="preserve">Guardar sigilo sobre todas as informações obtidas em decorrência do cumprimento do contrato </w:t>
            </w:r>
          </w:p>
        </w:tc>
        <w:tc>
          <w:tcPr>
            <w:tcW w:w="2611" w:type="dxa"/>
            <w:gridSpan w:val="3"/>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r>
        <w:trPr>
          <w:trHeight w:val="1205" w:hRule="atLeast"/>
        </w:trPr>
        <w:tc>
          <w:tcPr>
            <w:tcW w:w="6674"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Deixe aqui seu comentário ou observação para melhorar a qualidade dos serviços prestados ou, caso queira esclarecer sua avaliação.</w:t>
            </w:r>
          </w:p>
        </w:tc>
        <w:tc>
          <w:tcPr>
            <w:tcW w:w="2611" w:type="dxa"/>
            <w:gridSpan w:val="3"/>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sz w:val="15"/>
                <w:szCs w:val="15"/>
              </w:rPr>
            </w:pPr>
            <w:r>
              <w:rPr>
                <w:b/>
                <w:sz w:val="15"/>
                <w:szCs w:val="15"/>
              </w:rPr>
              <w:t xml:space="preserve"> </w:t>
            </w:r>
          </w:p>
        </w:tc>
      </w:tr>
      <w:tr>
        <w:trPr>
          <w:trHeight w:val="515" w:hRule="atLeast"/>
        </w:trPr>
        <w:tc>
          <w:tcPr>
            <w:tcW w:w="5713"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A – Número de quesitos pontuados, por grau de satisfação</w:t>
            </w:r>
          </w:p>
        </w:tc>
        <w:tc>
          <w:tcPr>
            <w:tcW w:w="961"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O</w:t>
            </w:r>
          </w:p>
        </w:tc>
        <w:tc>
          <w:tcPr>
            <w:tcW w:w="91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B</w:t>
            </w:r>
          </w:p>
        </w:tc>
        <w:tc>
          <w:tcPr>
            <w:tcW w:w="75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R</w:t>
            </w:r>
          </w:p>
        </w:tc>
        <w:tc>
          <w:tcPr>
            <w:tcW w:w="94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I</w:t>
            </w:r>
          </w:p>
        </w:tc>
      </w:tr>
      <w:tr>
        <w:trPr>
          <w:trHeight w:val="515" w:hRule="atLeast"/>
        </w:trPr>
        <w:tc>
          <w:tcPr>
            <w:tcW w:w="5713" w:type="dxa"/>
            <w:vMerge w:val="continue"/>
            <w:tcBorders>
              <w:top w:val="single" w:sz="8" w:space="0" w:color="000001"/>
              <w:left w:val="single" w:sz="8" w:space="0" w:color="000001"/>
              <w:bottom w:val="single" w:sz="8" w:space="0" w:color="000001"/>
              <w:right w:val="single" w:sz="8" w:space="0" w:color="000001"/>
            </w:tcBorders>
            <w:shd w:fill="auto" w:val="clear"/>
            <w:tcMar>
              <w:left w:w="90" w:type="dxa"/>
              <w:right w:w="100" w:type="dxa"/>
            </w:tcMar>
          </w:tcPr>
          <w:p>
            <w:pPr>
              <w:pStyle w:val="Normal"/>
              <w:spacing w:lineRule="auto" w:line="276" w:before="240" w:after="0"/>
              <w:ind w:left="100" w:hanging="0"/>
              <w:jc w:val="both"/>
              <w:rPr>
                <w:b/>
                <w:b/>
                <w:sz w:val="15"/>
                <w:szCs w:val="15"/>
              </w:rPr>
            </w:pPr>
            <w:r>
              <w:rPr>
                <w:b/>
                <w:sz w:val="15"/>
                <w:szCs w:val="15"/>
              </w:rPr>
            </w:r>
          </w:p>
        </w:tc>
        <w:tc>
          <w:tcPr>
            <w:tcW w:w="961"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c>
          <w:tcPr>
            <w:tcW w:w="91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c>
          <w:tcPr>
            <w:tcW w:w="75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c>
          <w:tcPr>
            <w:tcW w:w="94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r>
        <w:trPr>
          <w:trHeight w:val="515" w:hRule="atLeast"/>
        </w:trPr>
        <w:tc>
          <w:tcPr>
            <w:tcW w:w="9285" w:type="dxa"/>
            <w:gridSpan w:val="5"/>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40" w:hRule="atLeast"/>
        </w:trPr>
        <w:tc>
          <w:tcPr>
            <w:tcW w:w="7584" w:type="dxa"/>
            <w:gridSpan w:val="3"/>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B – Total de quesitos avaliados (excluindo-se os N – Não se aplica/ Não sei responder)</w:t>
            </w:r>
          </w:p>
        </w:tc>
        <w:tc>
          <w:tcPr>
            <w:tcW w:w="1701"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515" w:hRule="atLeast"/>
        </w:trPr>
        <w:tc>
          <w:tcPr>
            <w:tcW w:w="7584" w:type="dxa"/>
            <w:gridSpan w:val="3"/>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01"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515" w:hRule="atLeast"/>
        </w:trPr>
        <w:tc>
          <w:tcPr>
            <w:tcW w:w="57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C – Índice de Avaliação, por quesito (*)</w:t>
            </w:r>
          </w:p>
        </w:tc>
        <w:tc>
          <w:tcPr>
            <w:tcW w:w="961"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O</w:t>
            </w:r>
          </w:p>
        </w:tc>
        <w:tc>
          <w:tcPr>
            <w:tcW w:w="91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B</w:t>
            </w:r>
          </w:p>
        </w:tc>
        <w:tc>
          <w:tcPr>
            <w:tcW w:w="75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R</w:t>
            </w:r>
          </w:p>
        </w:tc>
        <w:tc>
          <w:tcPr>
            <w:tcW w:w="94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I</w:t>
            </w:r>
          </w:p>
        </w:tc>
      </w:tr>
      <w:tr>
        <w:trPr>
          <w:trHeight w:val="515" w:hRule="atLeast"/>
        </w:trPr>
        <w:tc>
          <w:tcPr>
            <w:tcW w:w="571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961"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910"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753"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94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980" w:hRule="atLeast"/>
        </w:trPr>
        <w:tc>
          <w:tcPr>
            <w:tcW w:w="9285" w:type="dxa"/>
            <w:gridSpan w:val="5"/>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 dividir o número correspondente a cada grau de satisfação (O, B, R, I), pelo total de quesitos avaliados. [A/B].</w:t>
            </w:r>
          </w:p>
        </w:tc>
      </w:tr>
      <w:tr>
        <w:trPr>
          <w:trHeight w:val="740" w:hRule="atLeast"/>
        </w:trPr>
        <w:tc>
          <w:tcPr>
            <w:tcW w:w="7584" w:type="dxa"/>
            <w:gridSpan w:val="3"/>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b/>
                <w:b/>
              </w:rPr>
            </w:pPr>
            <w:r>
              <w:rPr>
                <w:b/>
              </w:rPr>
              <w:t>D – Pontuação Total (**)</w:t>
            </w:r>
          </w:p>
        </w:tc>
        <w:tc>
          <w:tcPr>
            <w:tcW w:w="1701" w:type="dxa"/>
            <w:gridSpan w:val="2"/>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1205" w:hRule="atLeast"/>
        </w:trPr>
        <w:tc>
          <w:tcPr>
            <w:tcW w:w="9285" w:type="dxa"/>
            <w:gridSpan w:val="5"/>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76" w:before="240" w:after="240"/>
              <w:jc w:val="both"/>
              <w:rPr>
                <w:b/>
                <w:b/>
              </w:rPr>
            </w:pPr>
            <w:r>
              <w:rPr>
                <w:b/>
              </w:rPr>
              <w:t>(**) Somatório dos índices de avaliação (item C) para os graus e satisfação (Ótimo e Bom), multiplicados pela pontuação limite 25. [ (O+B) x 25]</w:t>
            </w:r>
          </w:p>
        </w:tc>
      </w:tr>
    </w:tbl>
    <w:p>
      <w:pPr>
        <w:pStyle w:val="Normal"/>
        <w:spacing w:lineRule="auto" w:line="276" w:before="240" w:after="0"/>
        <w:jc w:val="both"/>
        <w:rPr>
          <w:b/>
          <w:b/>
          <w:sz w:val="22"/>
          <w:szCs w:val="22"/>
        </w:rPr>
      </w:pPr>
      <w:r>
        <w:rPr>
          <w:rFonts w:eastAsia="Times New Roman" w:cs="Times New Roman" w:ascii="Times New Roman" w:hAnsi="Times New Roman"/>
          <w:b/>
          <w:sz w:val="15"/>
          <w:szCs w:val="15"/>
        </w:rPr>
        <w:t xml:space="preserve"> </w:t>
      </w:r>
      <w:r>
        <w:rPr>
          <w:b/>
          <w:sz w:val="15"/>
          <w:szCs w:val="15"/>
        </w:rPr>
        <w:t xml:space="preserve"> </w:t>
      </w:r>
    </w:p>
    <w:p>
      <w:pPr>
        <w:pStyle w:val="Normal"/>
        <w:spacing w:before="240" w:after="240"/>
        <w:jc w:val="both"/>
        <w:rPr>
          <w:b/>
          <w:b/>
          <w:sz w:val="22"/>
          <w:szCs w:val="22"/>
        </w:rPr>
      </w:pPr>
      <w:r>
        <w:rPr>
          <w:b/>
          <w:sz w:val="22"/>
          <w:szCs w:val="22"/>
        </w:rPr>
        <w:t xml:space="preserve"> </w:t>
      </w:r>
      <w:r>
        <w:rPr>
          <w:b/>
          <w:sz w:val="22"/>
          <w:szCs w:val="22"/>
        </w:rPr>
        <w:t>De acordo,</w:t>
      </w:r>
    </w:p>
    <w:p>
      <w:pPr>
        <w:pStyle w:val="Normal"/>
        <w:spacing w:before="240" w:after="240"/>
        <w:jc w:val="both"/>
        <w:rPr>
          <w:b/>
          <w:b/>
          <w:sz w:val="22"/>
          <w:szCs w:val="22"/>
        </w:rPr>
      </w:pPr>
      <w:r>
        <w:rPr>
          <w:b/>
          <w:sz w:val="22"/>
          <w:szCs w:val="22"/>
        </w:rPr>
        <w:t xml:space="preserve"> </w:t>
      </w:r>
    </w:p>
    <w:tbl>
      <w:tblPr>
        <w:tblW w:w="9240" w:type="dxa"/>
        <w:jc w:val="left"/>
        <w:tblInd w:w="0" w:type="dxa"/>
        <w:tblCellMar>
          <w:top w:w="100" w:type="dxa"/>
          <w:left w:w="80" w:type="dxa"/>
          <w:bottom w:w="100" w:type="dxa"/>
          <w:right w:w="100" w:type="dxa"/>
        </w:tblCellMar>
        <w:tblLook w:firstRow="0" w:noVBand="1" w:lastRow="0" w:firstColumn="0" w:lastColumn="0" w:noHBand="1" w:val="0600"/>
      </w:tblPr>
      <w:tblGrid>
        <w:gridCol w:w="4378"/>
        <w:gridCol w:w="4861"/>
      </w:tblGrid>
      <w:tr>
        <w:trPr>
          <w:trHeight w:val="732" w:hRule="atLeast"/>
        </w:trPr>
        <w:tc>
          <w:tcPr>
            <w:tcW w:w="4378"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140" w:hanging="998"/>
              <w:jc w:val="both"/>
              <w:rPr>
                <w:b/>
                <w:b/>
                <w:sz w:val="22"/>
                <w:szCs w:val="22"/>
              </w:rPr>
            </w:pPr>
            <w:r>
              <w:rPr>
                <w:b/>
                <w:sz w:val="22"/>
                <w:szCs w:val="22"/>
              </w:rPr>
              <w:t>Fiscal Técnico</w:t>
            </w:r>
          </w:p>
        </w:tc>
        <w:tc>
          <w:tcPr>
            <w:tcW w:w="4861"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140" w:hanging="0"/>
              <w:jc w:val="both"/>
              <w:rPr>
                <w:b/>
                <w:b/>
                <w:sz w:val="22"/>
                <w:szCs w:val="22"/>
              </w:rPr>
            </w:pPr>
            <w:r>
              <w:rPr>
                <w:b/>
                <w:sz w:val="22"/>
                <w:szCs w:val="22"/>
              </w:rPr>
              <w:t xml:space="preserve"> </w:t>
            </w:r>
          </w:p>
        </w:tc>
      </w:tr>
      <w:tr>
        <w:trPr>
          <w:trHeight w:val="840" w:hRule="atLeast"/>
        </w:trPr>
        <w:tc>
          <w:tcPr>
            <w:tcW w:w="4378"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140" w:hanging="1140"/>
              <w:jc w:val="both"/>
              <w:rPr>
                <w:b/>
                <w:b/>
                <w:sz w:val="22"/>
                <w:szCs w:val="22"/>
              </w:rPr>
            </w:pPr>
            <w:r>
              <w:rPr>
                <w:b/>
                <w:sz w:val="22"/>
                <w:szCs w:val="22"/>
              </w:rPr>
              <w:t>Fiscal Administrativo(Se houver)</w:t>
            </w:r>
          </w:p>
        </w:tc>
        <w:tc>
          <w:tcPr>
            <w:tcW w:w="4861"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140" w:hanging="0"/>
              <w:jc w:val="both"/>
              <w:rPr>
                <w:b/>
                <w:b/>
                <w:sz w:val="22"/>
                <w:szCs w:val="22"/>
              </w:rPr>
            </w:pPr>
            <w:r>
              <w:rPr>
                <w:b/>
                <w:sz w:val="22"/>
                <w:szCs w:val="22"/>
              </w:rPr>
              <w:t xml:space="preserve"> </w:t>
            </w:r>
          </w:p>
        </w:tc>
      </w:tr>
      <w:tr>
        <w:trPr>
          <w:trHeight w:val="687" w:hRule="atLeast"/>
        </w:trPr>
        <w:tc>
          <w:tcPr>
            <w:tcW w:w="4378"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140" w:hanging="1140"/>
              <w:jc w:val="both"/>
              <w:rPr>
                <w:b/>
                <w:b/>
                <w:sz w:val="22"/>
                <w:szCs w:val="22"/>
              </w:rPr>
            </w:pPr>
            <w:r>
              <w:rPr>
                <w:b/>
                <w:sz w:val="22"/>
                <w:szCs w:val="22"/>
              </w:rPr>
              <w:t>Gestor do Contrato</w:t>
            </w:r>
          </w:p>
        </w:tc>
        <w:tc>
          <w:tcPr>
            <w:tcW w:w="4861" w:type="dxa"/>
            <w:tcBorders>
              <w:top w:val="single" w:sz="8" w:space="0" w:color="000001"/>
              <w:left w:val="single" w:sz="8" w:space="0" w:color="000001"/>
              <w:bottom w:val="single" w:sz="8" w:space="0" w:color="000001"/>
              <w:right w:val="single" w:sz="8" w:space="0" w:color="000001"/>
            </w:tcBorders>
            <w:shd w:fill="auto" w:val="clear"/>
          </w:tcPr>
          <w:p>
            <w:pPr>
              <w:pStyle w:val="Normal"/>
              <w:spacing w:before="240" w:after="240"/>
              <w:ind w:left="1140" w:hanging="0"/>
              <w:jc w:val="both"/>
              <w:rPr>
                <w:b/>
                <w:b/>
                <w:sz w:val="22"/>
                <w:szCs w:val="22"/>
              </w:rPr>
            </w:pPr>
            <w:r>
              <w:rPr>
                <w:b/>
                <w:sz w:val="22"/>
                <w:szCs w:val="22"/>
              </w:rPr>
              <w:t xml:space="preserve"> </w:t>
            </w:r>
          </w:p>
        </w:tc>
      </w:tr>
    </w:tbl>
    <w:p>
      <w:pPr>
        <w:pStyle w:val="Normal"/>
        <w:spacing w:before="240" w:after="240"/>
        <w:jc w:val="both"/>
        <w:rPr>
          <w:b/>
          <w:b/>
          <w:color w:val="212121"/>
          <w:sz w:val="21"/>
          <w:szCs w:val="21"/>
        </w:rPr>
      </w:pPr>
      <w:r>
        <w:rPr>
          <w:b/>
          <w:color w:val="212121"/>
          <w:sz w:val="21"/>
          <w:szCs w:val="21"/>
        </w:rPr>
        <w:t xml:space="preserve">  </w:t>
      </w:r>
    </w:p>
    <w:p>
      <w:pPr>
        <w:pStyle w:val="Normal"/>
        <w:spacing w:before="240" w:after="240"/>
        <w:jc w:val="center"/>
        <w:rPr>
          <w:b/>
          <w:b/>
          <w:color w:val="212121"/>
          <w:sz w:val="21"/>
          <w:szCs w:val="21"/>
        </w:rPr>
      </w:pPr>
      <w:r>
        <w:rPr>
          <w:b/>
          <w:color w:val="212121"/>
          <w:sz w:val="21"/>
          <w:szCs w:val="21"/>
        </w:rPr>
        <w:t xml:space="preserve"> </w:t>
      </w:r>
    </w:p>
    <w:p>
      <w:pPr>
        <w:pStyle w:val="Normal"/>
        <w:spacing w:before="240" w:after="240"/>
        <w:jc w:val="center"/>
        <w:rPr>
          <w:b/>
          <w:b/>
          <w:color w:val="212121"/>
          <w:sz w:val="21"/>
          <w:szCs w:val="21"/>
        </w:rPr>
      </w:pPr>
      <w:r>
        <w:rPr/>
      </w:r>
    </w:p>
    <w:sectPr>
      <w:headerReference w:type="default" r:id="rId25"/>
      <w:footerReference w:type="default" r:id="rId26"/>
      <w:type w:val="nextPage"/>
      <w:pgSz w:w="11906" w:h="16838"/>
      <w:pgMar w:left="1418" w:right="1418" w:header="709" w:top="1701" w:footer="709" w:bottom="113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Arial MT">
    <w:charset w:val="00"/>
    <w:family w:val="roman"/>
    <w:pitch w:val="variable"/>
  </w:font>
  <w:font w:name="Helvetica Neue">
    <w:charset w:val="00"/>
    <w:family w:val="roman"/>
    <w:pitch w:val="variable"/>
  </w:font>
  <w:font w:name="Liberation Sans">
    <w:altName w:val="Arial"/>
    <w:charset w:val="00"/>
    <w:family w:val="roman"/>
    <w:pitch w:val="variable"/>
  </w:font>
  <w:font w:name="Georgia">
    <w:charset w:val="00"/>
    <w:family w:val="roman"/>
    <w:pitch w:val="variable"/>
  </w:font>
  <w:font w:name="TimesNew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bookmarkStart w:id="15" w:name="_4d34og8"/>
    <w:bookmarkEnd w:id="15"/>
    <w:r>
      <w:rPr/>
      <w:drawing>
        <wp:inline distT="0" distB="0" distL="0" distR="0">
          <wp:extent cx="722630" cy="647700"/>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bookmarkStart w:id="18" w:name="_Hlk80683111"/>
    <w:bookmarkEnd w:id="18"/>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5"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tabs>
          <w:tab w:val="num" w:pos="0"/>
        </w:tabs>
        <w:ind w:left="600" w:hanging="600"/>
      </w:pPr>
    </w:lvl>
    <w:lvl w:ilvl="1">
      <w:start w:val="1"/>
      <w:numFmt w:val="decimal"/>
      <w:lvlText w:val="%1.%2"/>
      <w:lvlJc w:val="left"/>
      <w:pPr>
        <w:tabs>
          <w:tab w:val="num" w:pos="0"/>
        </w:tabs>
        <w:ind w:left="1077" w:hanging="600"/>
      </w:pPr>
    </w:lvl>
    <w:lvl w:ilvl="2">
      <w:start w:val="1"/>
      <w:numFmt w:val="decimal"/>
      <w:lvlText w:val="%1.%2.%3"/>
      <w:lvlJc w:val="left"/>
      <w:pPr>
        <w:tabs>
          <w:tab w:val="num" w:pos="0"/>
        </w:tabs>
        <w:ind w:left="1288" w:hanging="719"/>
      </w:pPr>
    </w:lvl>
    <w:lvl w:ilvl="3">
      <w:start w:val="1"/>
      <w:numFmt w:val="decimal"/>
      <w:lvlText w:val="%1.%2.%3.%4"/>
      <w:lvlJc w:val="left"/>
      <w:pPr>
        <w:tabs>
          <w:tab w:val="num" w:pos="0"/>
        </w:tabs>
        <w:ind w:left="2151" w:hanging="72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465" w:hanging="1080"/>
      </w:pPr>
    </w:lvl>
    <w:lvl w:ilvl="6">
      <w:start w:val="1"/>
      <w:numFmt w:val="decimal"/>
      <w:lvlText w:val="%1.%2.%3.%4.%5.%6.%7"/>
      <w:lvlJc w:val="left"/>
      <w:pPr>
        <w:tabs>
          <w:tab w:val="num" w:pos="0"/>
        </w:tabs>
        <w:ind w:left="4302"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6" w:hanging="180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lvl w:ilvl="0">
      <w:start w:val="22"/>
      <w:numFmt w:val="decimal"/>
      <w:lvlText w:val="%1"/>
      <w:lvlJc w:val="left"/>
      <w:pPr>
        <w:tabs>
          <w:tab w:val="num" w:pos="0"/>
        </w:tabs>
        <w:ind w:left="420" w:hanging="420"/>
      </w:pPr>
    </w:lvl>
    <w:lvl w:ilvl="1">
      <w:start w:val="4"/>
      <w:numFmt w:val="decimal"/>
      <w:lvlText w:val="%1.%2"/>
      <w:lvlJc w:val="left"/>
      <w:pPr>
        <w:tabs>
          <w:tab w:val="num" w:pos="0"/>
        </w:tabs>
        <w:ind w:left="1644" w:hanging="420"/>
      </w:pPr>
    </w:lvl>
    <w:lvl w:ilvl="2">
      <w:start w:val="1"/>
      <w:numFmt w:val="decimal"/>
      <w:lvlText w:val="%1.%2.%3"/>
      <w:lvlJc w:val="left"/>
      <w:pPr>
        <w:tabs>
          <w:tab w:val="num" w:pos="0"/>
        </w:tabs>
        <w:ind w:left="3168" w:hanging="720"/>
      </w:pPr>
    </w:lvl>
    <w:lvl w:ilvl="3">
      <w:start w:val="1"/>
      <w:numFmt w:val="decimal"/>
      <w:lvlText w:val="%1.%2.%3.%4"/>
      <w:lvlJc w:val="left"/>
      <w:pPr>
        <w:tabs>
          <w:tab w:val="num" w:pos="0"/>
        </w:tabs>
        <w:ind w:left="4392" w:hanging="720"/>
      </w:pPr>
    </w:lvl>
    <w:lvl w:ilvl="4">
      <w:start w:val="1"/>
      <w:numFmt w:val="decimal"/>
      <w:lvlText w:val="%1.%2.%3.%4.%5"/>
      <w:lvlJc w:val="left"/>
      <w:pPr>
        <w:tabs>
          <w:tab w:val="num" w:pos="0"/>
        </w:tabs>
        <w:ind w:left="5976" w:hanging="1080"/>
      </w:pPr>
    </w:lvl>
    <w:lvl w:ilvl="5">
      <w:start w:val="1"/>
      <w:numFmt w:val="decimal"/>
      <w:lvlText w:val="%1.%2.%3.%4.%5.%6"/>
      <w:lvlJc w:val="left"/>
      <w:pPr>
        <w:tabs>
          <w:tab w:val="num" w:pos="0"/>
        </w:tabs>
        <w:ind w:left="7200" w:hanging="1080"/>
      </w:pPr>
    </w:lvl>
    <w:lvl w:ilvl="6">
      <w:start w:val="1"/>
      <w:numFmt w:val="decimal"/>
      <w:lvlText w:val="%1.%2.%3.%4.%5.%6.%7"/>
      <w:lvlJc w:val="left"/>
      <w:pPr>
        <w:tabs>
          <w:tab w:val="num" w:pos="0"/>
        </w:tabs>
        <w:ind w:left="8784" w:hanging="1440"/>
      </w:pPr>
    </w:lvl>
    <w:lvl w:ilvl="7">
      <w:start w:val="1"/>
      <w:numFmt w:val="decimal"/>
      <w:lvlText w:val="%1.%2.%3.%4.%5.%6.%7.%8"/>
      <w:lvlJc w:val="left"/>
      <w:pPr>
        <w:tabs>
          <w:tab w:val="num" w:pos="0"/>
        </w:tabs>
        <w:ind w:left="10008" w:hanging="1440"/>
      </w:pPr>
    </w:lvl>
    <w:lvl w:ilvl="8">
      <w:start w:val="1"/>
      <w:numFmt w:val="decimal"/>
      <w:lvlText w:val="%1.%2.%3.%4.%5.%6.%7.%8.%9"/>
      <w:lvlJc w:val="left"/>
      <w:pPr>
        <w:tabs>
          <w:tab w:val="num" w:pos="0"/>
        </w:tabs>
        <w:ind w:left="11592" w:hanging="1800"/>
      </w:pPr>
    </w:lvl>
  </w:abstractNum>
  <w:abstractNum w:abstractNumId="4">
    <w:lvl w:ilvl="0">
      <w:start w:val="23"/>
      <w:numFmt w:val="decimal"/>
      <w:lvlText w:val="%1"/>
      <w:lvlJc w:val="left"/>
      <w:pPr>
        <w:tabs>
          <w:tab w:val="num" w:pos="0"/>
        </w:tabs>
        <w:ind w:left="420" w:hanging="420"/>
      </w:pPr>
      <w:rPr>
        <w:b w:val="false"/>
      </w:rPr>
    </w:lvl>
    <w:lvl w:ilvl="1">
      <w:start w:val="1"/>
      <w:numFmt w:val="decimal"/>
      <w:lvlText w:val="%1.%2"/>
      <w:lvlJc w:val="left"/>
      <w:pPr>
        <w:tabs>
          <w:tab w:val="num" w:pos="0"/>
        </w:tabs>
        <w:ind w:left="780" w:hanging="420"/>
      </w:pPr>
      <w:rPr>
        <w:sz w:val="22"/>
        <w:b/>
      </w:rPr>
    </w:lvl>
    <w:lvl w:ilvl="2">
      <w:start w:val="1"/>
      <w:numFmt w:val="decimal"/>
      <w:lvlText w:val="%1.%2.%3"/>
      <w:lvlJc w:val="left"/>
      <w:pPr>
        <w:tabs>
          <w:tab w:val="num" w:pos="0"/>
        </w:tabs>
        <w:ind w:left="1440" w:hanging="720"/>
      </w:pPr>
      <w:rPr>
        <w:sz w:val="22"/>
        <w:b/>
        <w:rFonts w:eastAsia="Arial" w:cs="Arial"/>
      </w:rPr>
    </w:lvl>
    <w:lvl w:ilvl="3">
      <w:start w:val="1"/>
      <w:numFmt w:val="decimal"/>
      <w:lvlText w:val="%1.%2.%3.%4"/>
      <w:lvlJc w:val="left"/>
      <w:pPr>
        <w:tabs>
          <w:tab w:val="num" w:pos="0"/>
        </w:tabs>
        <w:ind w:left="1800" w:hanging="720"/>
      </w:pPr>
      <w:rPr>
        <w:b w:val="false"/>
      </w:rPr>
    </w:lvl>
    <w:lvl w:ilvl="4">
      <w:start w:val="1"/>
      <w:numFmt w:val="decimal"/>
      <w:lvlText w:val="%1.%2.%3.%4.%5"/>
      <w:lvlJc w:val="left"/>
      <w:pPr>
        <w:tabs>
          <w:tab w:val="num" w:pos="0"/>
        </w:tabs>
        <w:ind w:left="2520" w:hanging="1080"/>
      </w:pPr>
      <w:rPr>
        <w:b w:val="false"/>
      </w:rPr>
    </w:lvl>
    <w:lvl w:ilvl="5">
      <w:start w:val="1"/>
      <w:numFmt w:val="decimal"/>
      <w:lvlText w:val="%1.%2.%3.%4.%5.%6"/>
      <w:lvlJc w:val="left"/>
      <w:pPr>
        <w:tabs>
          <w:tab w:val="num" w:pos="0"/>
        </w:tabs>
        <w:ind w:left="2880" w:hanging="1080"/>
      </w:pPr>
      <w:rPr>
        <w:b w:val="false"/>
      </w:rPr>
    </w:lvl>
    <w:lvl w:ilvl="6">
      <w:start w:val="1"/>
      <w:numFmt w:val="decimal"/>
      <w:lvlText w:val="%1.%2.%3.%4.%5.%6.%7"/>
      <w:lvlJc w:val="left"/>
      <w:pPr>
        <w:tabs>
          <w:tab w:val="num" w:pos="0"/>
        </w:tabs>
        <w:ind w:left="3600" w:hanging="1440"/>
      </w:pPr>
      <w:rPr>
        <w:b w:val="false"/>
      </w:rPr>
    </w:lvl>
    <w:lvl w:ilvl="7">
      <w:start w:val="1"/>
      <w:numFmt w:val="decimal"/>
      <w:lvlText w:val="%1.%2.%3.%4.%5.%6.%7.%8"/>
      <w:lvlJc w:val="left"/>
      <w:pPr>
        <w:tabs>
          <w:tab w:val="num" w:pos="0"/>
        </w:tabs>
        <w:ind w:left="3960" w:hanging="1440"/>
      </w:pPr>
      <w:rPr>
        <w:b w:val="false"/>
      </w:rPr>
    </w:lvl>
    <w:lvl w:ilvl="8">
      <w:start w:val="1"/>
      <w:numFmt w:val="decimal"/>
      <w:lvlText w:val="%1.%2.%3.%4.%5.%6.%7.%8.%9"/>
      <w:lvlJc w:val="left"/>
      <w:pPr>
        <w:tabs>
          <w:tab w:val="num" w:pos="0"/>
        </w:tabs>
        <w:ind w:left="4680" w:hanging="1800"/>
      </w:pPr>
      <w:rPr>
        <w:b w:val="false"/>
      </w:rPr>
    </w:lvl>
  </w:abstractNum>
  <w:abstractNum w:abstractNumId="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22"/>
        <w:i w:val="false"/>
        <w:b/>
        <w:bCs/>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sz w:val="22"/>
        <w:i w:val="false"/>
        <w:b/>
        <w:highlight w:val="white"/>
        <w:color w:val="000000"/>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sz w:val="22"/>
        <w:i w:val="false"/>
        <w:b/>
        <w:bCs/>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7"/>
      <w:numFmt w:val="decimal"/>
      <w:lvlText w:val="%1"/>
      <w:lvlJc w:val="left"/>
      <w:pPr>
        <w:tabs>
          <w:tab w:val="num" w:pos="0"/>
        </w:tabs>
        <w:ind w:left="840" w:hanging="840"/>
      </w:pPr>
    </w:lvl>
    <w:lvl w:ilvl="1">
      <w:start w:val="4"/>
      <w:numFmt w:val="decimal"/>
      <w:lvlText w:val="%1.%2"/>
      <w:lvlJc w:val="left"/>
      <w:pPr>
        <w:tabs>
          <w:tab w:val="num" w:pos="0"/>
        </w:tabs>
        <w:ind w:left="1265" w:hanging="840"/>
      </w:pPr>
    </w:lvl>
    <w:lvl w:ilvl="2">
      <w:start w:val="1"/>
      <w:numFmt w:val="decimal"/>
      <w:lvlText w:val="%1.%2.%3"/>
      <w:lvlJc w:val="left"/>
      <w:pPr>
        <w:tabs>
          <w:tab w:val="num" w:pos="0"/>
        </w:tabs>
        <w:ind w:left="1690" w:hanging="840"/>
      </w:pPr>
      <w:rPr>
        <w:sz w:val="22"/>
        <w:b/>
        <w:bCs/>
      </w:rPr>
    </w:lvl>
    <w:lvl w:ilvl="3">
      <w:start w:val="4"/>
      <w:numFmt w:val="decimal"/>
      <w:lvlText w:val="%1.%2.%3.%4"/>
      <w:lvlJc w:val="left"/>
      <w:pPr>
        <w:tabs>
          <w:tab w:val="num" w:pos="0"/>
        </w:tabs>
        <w:ind w:left="2115" w:hanging="84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pt-BR"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Arial" w:hAnsi="Arial" w:eastAsia="Arial" w:cs="Arial"/>
      <w:color w:val="00000A"/>
      <w:kern w:val="0"/>
      <w:sz w:val="20"/>
      <w:szCs w:val="20"/>
      <w:lang w:val="pt-BR" w:eastAsia="pt-BR" w:bidi="ar-SA"/>
    </w:rPr>
  </w:style>
  <w:style w:type="paragraph" w:styleId="Ttulo1">
    <w:name w:val="Heading 1"/>
    <w:basedOn w:val="Normal"/>
    <w:next w:val="Normal"/>
    <w:uiPriority w:val="9"/>
    <w:qFormat/>
    <w:pPr>
      <w:keepNext w:val="true"/>
      <w:keepLines/>
      <w:spacing w:before="240" w:after="0"/>
      <w:outlineLvl w:val="0"/>
    </w:pPr>
    <w:rPr>
      <w:rFonts w:ascii="Cambria" w:hAnsi="Cambria" w:eastAsia="Cambria" w:cs="Cambria"/>
      <w:color w:val="366091"/>
      <w:sz w:val="32"/>
      <w:szCs w:val="32"/>
    </w:rPr>
  </w:style>
  <w:style w:type="paragraph" w:styleId="Ttulo2">
    <w:name w:val="Heading 2"/>
    <w:basedOn w:val="Normal"/>
    <w:next w:val="Normal"/>
    <w:uiPriority w:val="9"/>
    <w:semiHidden/>
    <w:unhideWhenUsed/>
    <w:qFormat/>
    <w:pPr>
      <w:keepNext w:val="true"/>
      <w:tabs>
        <w:tab w:val="clear" w:pos="720"/>
        <w:tab w:val="left" w:pos="1701" w:leader="none"/>
      </w:tabs>
      <w:jc w:val="center"/>
      <w:outlineLvl w:val="1"/>
    </w:pPr>
    <w:rPr>
      <w:rFonts w:ascii="Times New Roman" w:hAnsi="Times New Roman" w:eastAsia="Times New Roman" w:cs="Times New Roman"/>
      <w:b/>
      <w:color w:val="000000"/>
    </w:rPr>
  </w:style>
  <w:style w:type="paragraph" w:styleId="Ttulo3">
    <w:name w:val="Heading 3"/>
    <w:basedOn w:val="Normal"/>
    <w:next w:val="Normal"/>
    <w:uiPriority w:val="9"/>
    <w:semiHidden/>
    <w:unhideWhenUsed/>
    <w:qFormat/>
    <w:pPr>
      <w:widowControl w:val="false"/>
      <w:ind w:left="242" w:hanging="0"/>
      <w:outlineLvl w:val="2"/>
    </w:pPr>
    <w:rPr>
      <w:rFonts w:ascii="Arial MT" w:hAnsi="Arial MT" w:eastAsia="Arial MT" w:cs="Arial MT"/>
      <w:sz w:val="30"/>
      <w:szCs w:val="30"/>
    </w:rPr>
  </w:style>
  <w:style w:type="paragraph" w:styleId="Ttulo4">
    <w:name w:val="Heading 4"/>
    <w:basedOn w:val="Normal"/>
    <w:next w:val="Normal"/>
    <w:uiPriority w:val="9"/>
    <w:semiHidden/>
    <w:unhideWhenUsed/>
    <w:qFormat/>
    <w:pPr>
      <w:widowControl w:val="false"/>
      <w:spacing w:before="89" w:after="0"/>
      <w:ind w:right="289" w:hanging="0"/>
      <w:jc w:val="center"/>
      <w:outlineLvl w:val="3"/>
    </w:pPr>
    <w:rPr>
      <w:rFonts w:ascii="Times New Roman" w:hAnsi="Times New Roman" w:eastAsia="Times New Roman" w:cs="Times New Roman"/>
      <w:b/>
      <w:sz w:val="28"/>
      <w:szCs w:val="28"/>
    </w:rPr>
  </w:style>
  <w:style w:type="paragraph" w:styleId="Ttulo5">
    <w:name w:val="Heading 5"/>
    <w:basedOn w:val="Normal"/>
    <w:next w:val="Normal"/>
    <w:uiPriority w:val="9"/>
    <w:semiHidden/>
    <w:unhideWhenUsed/>
    <w:qFormat/>
    <w:pPr>
      <w:widowControl w:val="false"/>
      <w:outlineLvl w:val="4"/>
    </w:pPr>
    <w:rPr>
      <w:rFonts w:ascii="Helvetica Neue" w:hAnsi="Helvetica Neue" w:eastAsia="Helvetica Neue" w:cs="Helvetica Neue"/>
      <w:sz w:val="28"/>
      <w:szCs w:val="28"/>
    </w:rPr>
  </w:style>
  <w:style w:type="paragraph" w:styleId="Ttulo6">
    <w:name w:val="Heading 6"/>
    <w:basedOn w:val="Normal"/>
    <w:next w:val="Normal"/>
    <w:uiPriority w:val="9"/>
    <w:semiHidden/>
    <w:unhideWhenUsed/>
    <w:qFormat/>
    <w:pPr>
      <w:widowControl w:val="false"/>
      <w:ind w:left="384" w:hanging="270"/>
      <w:outlineLvl w:val="5"/>
    </w:pPr>
    <w:rPr>
      <w:rFonts w:ascii="Times New Roman" w:hAnsi="Times New Roman" w:eastAsia="Times New Roman" w:cs="Times New Roman"/>
      <w:b/>
      <w:sz w:val="27"/>
      <w:szCs w:val="27"/>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b113a"/>
    <w:rPr/>
  </w:style>
  <w:style w:type="character" w:styleId="RodapChar" w:customStyle="1">
    <w:name w:val="Rodapé Char"/>
    <w:basedOn w:val="DefaultParagraphFont"/>
    <w:link w:val="Rodap"/>
    <w:uiPriority w:val="99"/>
    <w:qFormat/>
    <w:rsid w:val="000b113a"/>
    <w:rPr/>
  </w:style>
  <w:style w:type="character" w:styleId="LinkdaInternet" w:customStyle="1">
    <w:name w:val="Link da Internet"/>
    <w:rPr>
      <w:color w:val="000080"/>
      <w:u w:val="single"/>
    </w:rPr>
  </w:style>
  <w:style w:type="character" w:styleId="Linkdainternetvisitado" w:customStyle="1">
    <w:name w:val="Link da internet visitado"/>
    <w:rPr>
      <w:color w:val="80000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uiPriority w:val="10"/>
    <w:qFormat/>
    <w:pPr>
      <w:keepNext w:val="true"/>
      <w:spacing w:before="240" w:after="120"/>
    </w:pPr>
    <w:rPr>
      <w:rFonts w:ascii="Liberation Sans" w:hAnsi="Liberation Sans" w:eastAsia="Liberation Sans" w:cs="Liberation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3a7479"/>
    <w:pPr>
      <w:spacing w:before="0" w:after="0"/>
      <w:ind w:left="720" w:hanging="0"/>
      <w:contextualSpacing/>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0b113a"/>
    <w:pPr>
      <w:tabs>
        <w:tab w:val="clear" w:pos="720"/>
        <w:tab w:val="center" w:pos="4252" w:leader="none"/>
        <w:tab w:val="right" w:pos="8504" w:leader="none"/>
      </w:tabs>
    </w:pPr>
    <w:rPr/>
  </w:style>
  <w:style w:type="paragraph" w:styleId="Rodap">
    <w:name w:val="Footer"/>
    <w:basedOn w:val="Normal"/>
    <w:link w:val="RodapChar"/>
    <w:uiPriority w:val="99"/>
    <w:unhideWhenUsed/>
    <w:rsid w:val="000b113a"/>
    <w:pPr>
      <w:tabs>
        <w:tab w:val="clear" w:pos="720"/>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p.licita@ifsertao-pe.edu.br" TargetMode="External"/><Relationship Id="rId3" Type="http://schemas.openxmlformats.org/officeDocument/2006/relationships/hyperlink" Target="mailto:cpzr.cpl@ifsertao-pe.edu.br" TargetMode="External"/><Relationship Id="rId4" Type="http://schemas.openxmlformats.org/officeDocument/2006/relationships/hyperlink" Target="mailto:cf.dap@ifsertao-pe.edu.br" TargetMode="External"/><Relationship Id="rId5" Type="http://schemas.openxmlformats.org/officeDocument/2006/relationships/hyperlink" Target="mailto:cs.cpl@ifsertao-pe.edu.br" TargetMode="External"/><Relationship Id="rId6" Type="http://schemas.openxmlformats.org/officeDocument/2006/relationships/hyperlink" Target="mailto:co.licitacao@ifsertao-pe.edu.br" TargetMode="External"/><Relationship Id="rId7" Type="http://schemas.openxmlformats.org/officeDocument/2006/relationships/hyperlink" Target="mailto:csm.dap@ifsertao-pe.edu.br" TargetMode="External"/><Relationship Id="rId8" Type="http://schemas.openxmlformats.org/officeDocument/2006/relationships/hyperlink" Target="mailto:elenilson.nobre@ifsertao-pe.edu.br" TargetMode="External"/><Relationship Id="rId9" Type="http://schemas.openxmlformats.org/officeDocument/2006/relationships/hyperlink" Target="https://www.ifsertao-pe.edu.br/index.php/licitacoes/pregao-eletronico/pregao-rei?id=11791"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mailto:cpzr.cpl@ifsertao-pe.edu.br" TargetMode="External"/><Relationship Id="rId13" Type="http://schemas.openxmlformats.org/officeDocument/2006/relationships/hyperlink" Target="mailto:cs.cpl@ifsertao-pe.edu.br" TargetMode="External"/><Relationship Id="rId14" Type="http://schemas.openxmlformats.org/officeDocument/2006/relationships/hyperlink" Target="mailto:cp.licita@ifsertao-pe.edu.br" TargetMode="External"/><Relationship Id="rId15" Type="http://schemas.openxmlformats.org/officeDocument/2006/relationships/hyperlink" Target="mailto:cpzr.cpl@ifsertao-pe.edu.br" TargetMode="External"/><Relationship Id="rId16" Type="http://schemas.openxmlformats.org/officeDocument/2006/relationships/hyperlink" Target="mailto:cf.dap@ifsertao-pe.edu.br" TargetMode="External"/><Relationship Id="rId17" Type="http://schemas.openxmlformats.org/officeDocument/2006/relationships/hyperlink" Target="mailto:cs.cpl@ifsertao-pe.edu.br" TargetMode="External"/><Relationship Id="rId18" Type="http://schemas.openxmlformats.org/officeDocument/2006/relationships/hyperlink" Target="mailto:co.licitacao@ifsertao-pe.edu.br" TargetMode="Externa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_rels/header5.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Application>LibreOffice/6.4.6.2$Windows_X86_64 LibreOffice_project/0ce51a4fd21bff07a5c061082cc82c5ed232f115</Application>
  <Pages>91</Pages>
  <Words>24298</Words>
  <Characters>141274</Characters>
  <CharactersWithSpaces>164488</CharactersWithSpaces>
  <Paragraphs>2302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2021-07-12T11:20:00Z</dcterms:created>
  <dc:creator>USUARIO</dc:creator>
  <dc:description/>
  <dc:language>pt-BR</dc:language>
  <cp:lastModifiedBy/>
  <cp:lastPrinted>2021-08-26T13:59:00Z</cp:lastPrinted>
  <dcterms:modified xsi:type="dcterms:W3CDTF">2021-09-02T14:16:27Z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