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35" w:type="dxa"/>
        <w:jc w:val="left"/>
        <w:tblInd w:w="66" w:type="dxa"/>
        <w:tblCellMar>
          <w:top w:w="57" w:type="dxa"/>
          <w:left w:w="18" w:type="dxa"/>
          <w:bottom w:w="57" w:type="dxa"/>
          <w:right w:w="18" w:type="dxa"/>
        </w:tblCellMar>
      </w:tblPr>
      <w:tblGrid>
        <w:gridCol w:w="3990"/>
        <w:gridCol w:w="5144"/>
      </w:tblGrid>
      <w:tr>
        <w:trPr>
          <w:trHeight w:val="960" w:hRule="atLeast"/>
        </w:trPr>
        <w:tc>
          <w:tcPr>
            <w:tcW w:w="9134" w:type="dxa"/>
            <w:gridSpan w:val="2"/>
            <w:tcBorders>
              <w:top w:val="single" w:sz="14" w:space="0" w:color="000001"/>
              <w:left w:val="single" w:sz="14" w:space="0" w:color="000001"/>
              <w:bottom w:val="single" w:sz="14" w:space="0" w:color="000001"/>
              <w:right w:val="single" w:sz="14" w:space="0" w:color="000001"/>
            </w:tcBorders>
            <w:shd w:fill="00FF66" w:val="clear"/>
            <w:vAlign w:val="center"/>
          </w:tcPr>
          <w:p>
            <w:pPr>
              <w:pStyle w:val="Normal"/>
              <w:tabs>
                <w:tab w:val="clear" w:pos="720"/>
                <w:tab w:val="left" w:pos="1350" w:leader="none"/>
                <w:tab w:val="center" w:pos="4780" w:leader="none"/>
              </w:tabs>
              <w:snapToGrid w:val="false"/>
              <w:ind w:left="0" w:right="0" w:hanging="0"/>
              <w:jc w:val="center"/>
              <w:rPr/>
            </w:pPr>
            <w:r>
              <w:rPr>
                <w:rFonts w:cs="Arial" w:ascii="Arial" w:hAnsi="Arial"/>
                <w:b/>
                <w:color w:val="000000"/>
                <w:sz w:val="80"/>
                <w:szCs w:val="80"/>
              </w:rPr>
              <w:t xml:space="preserve"> </w:t>
            </w:r>
            <w:r>
              <w:rPr>
                <w:rFonts w:cs="Arial" w:ascii="Arial" w:hAnsi="Arial"/>
                <w:b/>
                <w:color w:val="000000"/>
                <w:sz w:val="80"/>
                <w:szCs w:val="80"/>
              </w:rPr>
              <w:t>IF – SERTÃO PE</w:t>
            </w:r>
          </w:p>
        </w:tc>
      </w:tr>
      <w:tr>
        <w:trPr/>
        <w:tc>
          <w:tcPr>
            <w:tcW w:w="9134" w:type="dxa"/>
            <w:gridSpan w:val="2"/>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center"/>
              <w:rPr>
                <w:rFonts w:ascii="Arial" w:hAnsi="Arial" w:cs="Arial"/>
                <w:b/>
                <w:b/>
                <w:color w:val="000000"/>
                <w:sz w:val="20"/>
                <w:szCs w:val="20"/>
              </w:rPr>
            </w:pPr>
            <w:r>
              <w:rPr>
                <w:rFonts w:cs="Arial" w:ascii="Arial" w:hAnsi="Arial"/>
                <w:b/>
                <w:color w:val="000000"/>
                <w:sz w:val="20"/>
                <w:szCs w:val="20"/>
              </w:rPr>
              <w:t xml:space="preserve">MINUTA DE EDITAL </w:t>
            </w:r>
          </w:p>
          <w:p>
            <w:pPr>
              <w:pStyle w:val="Normal"/>
              <w:snapToGrid w:val="false"/>
              <w:jc w:val="center"/>
              <w:rPr>
                <w:rFonts w:ascii="Arial" w:hAnsi="Arial"/>
                <w:sz w:val="20"/>
                <w:szCs w:val="20"/>
              </w:rPr>
            </w:pPr>
            <w:r>
              <w:rPr>
                <w:rFonts w:cs="Arial" w:ascii="Arial" w:hAnsi="Arial"/>
                <w:b/>
                <w:color w:val="000000"/>
                <w:sz w:val="20"/>
                <w:szCs w:val="20"/>
              </w:rPr>
              <w:t>PREGÃO</w:t>
            </w:r>
            <w:r>
              <w:rPr>
                <w:rFonts w:eastAsia="Arial" w:cs="Arial" w:ascii="Arial" w:hAnsi="Arial"/>
                <w:b/>
                <w:color w:val="000000"/>
                <w:sz w:val="20"/>
                <w:szCs w:val="20"/>
              </w:rPr>
              <w:t xml:space="preserve"> </w:t>
            </w:r>
            <w:r>
              <w:rPr>
                <w:rFonts w:cs="Arial" w:ascii="Arial" w:hAnsi="Arial"/>
                <w:b/>
                <w:color w:val="000000"/>
                <w:sz w:val="20"/>
                <w:szCs w:val="20"/>
              </w:rPr>
              <w:t>ELETRÔNICO</w:t>
            </w:r>
            <w:r>
              <w:rPr>
                <w:rFonts w:eastAsia="Arial" w:cs="Arial" w:ascii="Arial" w:hAnsi="Arial"/>
                <w:b/>
                <w:color w:val="000000"/>
                <w:sz w:val="20"/>
                <w:szCs w:val="20"/>
              </w:rPr>
              <w:t xml:space="preserve"> </w:t>
            </w:r>
            <w:r>
              <w:rPr>
                <w:rFonts w:cs="Arial" w:ascii="Arial" w:hAnsi="Arial"/>
                <w:b/>
                <w:color w:val="000000"/>
                <w:sz w:val="20"/>
                <w:szCs w:val="20"/>
              </w:rPr>
              <w:t>POR</w:t>
            </w:r>
            <w:r>
              <w:rPr>
                <w:rFonts w:eastAsia="Arial" w:cs="Arial" w:ascii="Arial" w:hAnsi="Arial"/>
                <w:b/>
                <w:color w:val="000000"/>
                <w:sz w:val="20"/>
                <w:szCs w:val="20"/>
              </w:rPr>
              <w:t xml:space="preserve"> </w:t>
            </w:r>
            <w:r>
              <w:rPr>
                <w:rFonts w:cs="Arial" w:ascii="Arial" w:hAnsi="Arial"/>
                <w:b/>
                <w:color w:val="000000"/>
                <w:sz w:val="20"/>
                <w:szCs w:val="20"/>
              </w:rPr>
              <w:t>SRP</w:t>
            </w:r>
            <w:r>
              <w:rPr>
                <w:rFonts w:eastAsia="Arial" w:cs="Arial" w:ascii="Arial" w:hAnsi="Arial"/>
                <w:b/>
                <w:color w:val="000000"/>
                <w:sz w:val="20"/>
                <w:szCs w:val="20"/>
              </w:rPr>
              <w:t xml:space="preserve"> </w:t>
            </w:r>
            <w:r>
              <w:rPr>
                <w:rFonts w:cs="Arial" w:ascii="Arial" w:hAnsi="Arial"/>
                <w:b/>
                <w:color w:val="000000"/>
                <w:sz w:val="20"/>
                <w:szCs w:val="20"/>
              </w:rPr>
              <w:t>Nº</w:t>
            </w:r>
            <w:r>
              <w:rPr>
                <w:rFonts w:eastAsia="Arial" w:cs="Arial" w:ascii="Arial" w:hAnsi="Arial"/>
                <w:b/>
                <w:color w:val="000000"/>
                <w:sz w:val="20"/>
                <w:szCs w:val="20"/>
              </w:rPr>
              <w:t xml:space="preserve"> 12/2021</w:t>
            </w:r>
          </w:p>
          <w:p>
            <w:pPr>
              <w:pStyle w:val="Normal"/>
              <w:jc w:val="center"/>
              <w:rPr>
                <w:rFonts w:ascii="Arial" w:hAnsi="Arial"/>
                <w:sz w:val="20"/>
                <w:szCs w:val="20"/>
              </w:rPr>
            </w:pPr>
            <w:r>
              <w:rPr>
                <w:rFonts w:cs="Arial" w:ascii="Arial" w:hAnsi="Arial"/>
                <w:color w:val="000000"/>
                <w:sz w:val="20"/>
                <w:szCs w:val="20"/>
              </w:rPr>
              <w:t>Regido</w:t>
            </w:r>
            <w:r>
              <w:rPr>
                <w:rFonts w:eastAsia="Arial" w:cs="Arial" w:ascii="Arial" w:hAnsi="Arial"/>
                <w:color w:val="000000"/>
                <w:sz w:val="20"/>
                <w:szCs w:val="20"/>
              </w:rPr>
              <w:t xml:space="preserve"> </w:t>
            </w:r>
            <w:r>
              <w:rPr>
                <w:rFonts w:cs="Arial" w:ascii="Arial" w:hAnsi="Arial"/>
                <w:color w:val="000000"/>
                <w:sz w:val="20"/>
                <w:szCs w:val="20"/>
              </w:rPr>
              <w:t>pela</w:t>
            </w:r>
            <w:r>
              <w:rPr>
                <w:rFonts w:eastAsia="Arial" w:cs="Arial" w:ascii="Arial" w:hAnsi="Arial"/>
                <w:color w:val="000000"/>
                <w:sz w:val="20"/>
                <w:szCs w:val="20"/>
              </w:rPr>
              <w:t xml:space="preserve"> </w:t>
            </w:r>
            <w:r>
              <w:rPr>
                <w:rFonts w:cs="Arial" w:ascii="Arial" w:hAnsi="Arial"/>
                <w:color w:val="000000"/>
                <w:sz w:val="20"/>
                <w:szCs w:val="20"/>
              </w:rPr>
              <w:t>Lei</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10.520/2002,</w:t>
            </w:r>
            <w:r>
              <w:rPr>
                <w:rFonts w:eastAsia="Arial" w:cs="Arial" w:ascii="Arial" w:hAnsi="Arial"/>
                <w:color w:val="000000"/>
                <w:sz w:val="20"/>
                <w:szCs w:val="20"/>
              </w:rPr>
              <w:t xml:space="preserve"> </w:t>
            </w:r>
            <w:r>
              <w:rPr>
                <w:rFonts w:cs="Arial" w:ascii="Arial" w:hAnsi="Arial"/>
                <w:color w:val="000000"/>
                <w:sz w:val="20"/>
                <w:szCs w:val="20"/>
              </w:rPr>
              <w:t>pelo</w:t>
            </w:r>
            <w:r>
              <w:rPr>
                <w:rFonts w:eastAsia="Arial" w:cs="Arial" w:ascii="Arial" w:hAnsi="Arial"/>
                <w:color w:val="000000"/>
                <w:sz w:val="20"/>
                <w:szCs w:val="20"/>
              </w:rPr>
              <w:t xml:space="preserve"> </w:t>
            </w:r>
            <w:r>
              <w:rPr>
                <w:rFonts w:cs="Arial" w:ascii="Arial" w:hAnsi="Arial"/>
                <w:color w:val="000000"/>
                <w:sz w:val="20"/>
                <w:szCs w:val="20"/>
              </w:rPr>
              <w:t>Decreto</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3.555/2000</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Decreto</w:t>
            </w:r>
            <w:r>
              <w:rPr>
                <w:rFonts w:eastAsia="Arial" w:cs="Arial" w:ascii="Arial" w:hAnsi="Arial"/>
                <w:color w:val="000000"/>
                <w:sz w:val="20"/>
                <w:szCs w:val="20"/>
                <w:highlight w:val="white"/>
              </w:rPr>
              <w:t xml:space="preserve"> </w:t>
            </w:r>
            <w:r>
              <w:rPr>
                <w:rFonts w:cs="Arial" w:ascii="Arial" w:hAnsi="Arial"/>
                <w:color w:val="000000"/>
                <w:sz w:val="20"/>
                <w:szCs w:val="20"/>
                <w:highlight w:val="white"/>
              </w:rPr>
              <w:t>nº</w:t>
            </w:r>
            <w:r>
              <w:rPr>
                <w:rFonts w:eastAsia="Arial" w:cs="Arial" w:ascii="Arial" w:hAnsi="Arial"/>
                <w:color w:val="000000"/>
                <w:sz w:val="20"/>
                <w:szCs w:val="20"/>
                <w:highlight w:val="white"/>
              </w:rPr>
              <w:t xml:space="preserve"> 10.024/2019</w:t>
            </w:r>
            <w:r>
              <w:rPr>
                <w:rFonts w:cs="Arial" w:ascii="Arial" w:hAnsi="Arial"/>
                <w:color w:val="000000"/>
                <w:sz w:val="20"/>
                <w:szCs w:val="20"/>
              </w:rPr>
              <w:t>,</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subsidiariamente,</w:t>
            </w:r>
            <w:r>
              <w:rPr>
                <w:rFonts w:eastAsia="Arial" w:cs="Arial" w:ascii="Arial" w:hAnsi="Arial"/>
                <w:color w:val="000000"/>
                <w:sz w:val="20"/>
                <w:szCs w:val="20"/>
              </w:rPr>
              <w:t xml:space="preserve"> </w:t>
            </w:r>
            <w:r>
              <w:rPr>
                <w:rFonts w:cs="Arial" w:ascii="Arial" w:hAnsi="Arial"/>
                <w:color w:val="000000"/>
                <w:sz w:val="20"/>
                <w:szCs w:val="20"/>
              </w:rPr>
              <w:t>pela</w:t>
            </w:r>
            <w:r>
              <w:rPr>
                <w:rFonts w:eastAsia="Arial" w:cs="Arial" w:ascii="Arial" w:hAnsi="Arial"/>
                <w:color w:val="000000"/>
                <w:sz w:val="20"/>
                <w:szCs w:val="20"/>
              </w:rPr>
              <w:t xml:space="preserve"> </w:t>
            </w:r>
            <w:r>
              <w:rPr>
                <w:rFonts w:cs="Arial" w:ascii="Arial" w:hAnsi="Arial"/>
                <w:color w:val="000000"/>
                <w:sz w:val="20"/>
                <w:szCs w:val="20"/>
              </w:rPr>
              <w:t>Lei</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8.666/93,</w:t>
            </w:r>
            <w:r>
              <w:rPr>
                <w:rFonts w:eastAsia="Arial" w:cs="Arial" w:ascii="Arial" w:hAnsi="Arial"/>
                <w:color w:val="000000"/>
                <w:sz w:val="20"/>
                <w:szCs w:val="20"/>
              </w:rPr>
              <w:t xml:space="preserve"> </w:t>
            </w:r>
            <w:r>
              <w:rPr>
                <w:rFonts w:cs="Arial" w:ascii="Arial" w:hAnsi="Arial"/>
                <w:color w:val="000000"/>
                <w:sz w:val="20"/>
                <w:szCs w:val="20"/>
              </w:rPr>
              <w:t>com</w:t>
            </w:r>
            <w:r>
              <w:rPr>
                <w:rFonts w:eastAsia="Arial" w:cs="Arial" w:ascii="Arial" w:hAnsi="Arial"/>
                <w:color w:val="000000"/>
                <w:sz w:val="20"/>
                <w:szCs w:val="20"/>
              </w:rPr>
              <w:t xml:space="preserve"> alterações</w:t>
            </w:r>
            <w:r>
              <w:rPr>
                <w:rFonts w:cs="Arial" w:ascii="Arial" w:hAnsi="Arial"/>
                <w:color w:val="000000"/>
                <w:sz w:val="20"/>
                <w:szCs w:val="20"/>
              </w:rPr>
              <w:t>,</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demais</w:t>
            </w:r>
            <w:r>
              <w:rPr>
                <w:rFonts w:eastAsia="Arial" w:cs="Arial" w:ascii="Arial" w:hAnsi="Arial"/>
                <w:color w:val="000000"/>
                <w:sz w:val="20"/>
                <w:szCs w:val="20"/>
              </w:rPr>
              <w:t xml:space="preserve"> </w:t>
            </w:r>
            <w:r>
              <w:rPr>
                <w:rFonts w:cs="Arial" w:ascii="Arial" w:hAnsi="Arial"/>
                <w:color w:val="000000"/>
                <w:sz w:val="20"/>
                <w:szCs w:val="20"/>
              </w:rPr>
              <w:t>normas</w:t>
            </w:r>
            <w:r>
              <w:rPr>
                <w:rFonts w:eastAsia="Arial" w:cs="Arial" w:ascii="Arial" w:hAnsi="Arial"/>
                <w:color w:val="000000"/>
                <w:sz w:val="20"/>
                <w:szCs w:val="20"/>
              </w:rPr>
              <w:t xml:space="preserve"> </w:t>
            </w:r>
            <w:r>
              <w:rPr>
                <w:rFonts w:cs="Arial" w:ascii="Arial" w:hAnsi="Arial"/>
                <w:color w:val="000000"/>
                <w:sz w:val="20"/>
                <w:szCs w:val="20"/>
              </w:rPr>
              <w:t>regulamentares</w:t>
            </w:r>
            <w:r>
              <w:rPr>
                <w:rFonts w:eastAsia="Arial" w:cs="Arial" w:ascii="Arial" w:hAnsi="Arial"/>
                <w:color w:val="000000"/>
                <w:sz w:val="20"/>
                <w:szCs w:val="20"/>
              </w:rPr>
              <w:t xml:space="preserve"> </w:t>
            </w:r>
            <w:r>
              <w:rPr>
                <w:rFonts w:cs="Arial" w:ascii="Arial" w:hAnsi="Arial"/>
                <w:color w:val="000000"/>
                <w:sz w:val="20"/>
                <w:szCs w:val="20"/>
              </w:rPr>
              <w:t>aplicáveis</w:t>
            </w:r>
            <w:r>
              <w:rPr>
                <w:rFonts w:eastAsia="Arial" w:cs="Arial" w:ascii="Arial" w:hAnsi="Arial"/>
                <w:color w:val="000000"/>
                <w:sz w:val="20"/>
                <w:szCs w:val="20"/>
              </w:rPr>
              <w:t xml:space="preserve"> </w:t>
            </w:r>
            <w:r>
              <w:rPr>
                <w:rFonts w:cs="Arial" w:ascii="Arial" w:hAnsi="Arial"/>
                <w:color w:val="000000"/>
                <w:sz w:val="20"/>
                <w:szCs w:val="20"/>
              </w:rPr>
              <w:t>à</w:t>
            </w:r>
            <w:r>
              <w:rPr>
                <w:rFonts w:eastAsia="Arial" w:cs="Arial" w:ascii="Arial" w:hAnsi="Arial"/>
                <w:color w:val="000000"/>
                <w:sz w:val="20"/>
                <w:szCs w:val="20"/>
              </w:rPr>
              <w:t xml:space="preserve"> </w:t>
            </w:r>
            <w:r>
              <w:rPr>
                <w:rFonts w:cs="Arial" w:ascii="Arial" w:hAnsi="Arial"/>
                <w:color w:val="000000"/>
                <w:sz w:val="20"/>
                <w:szCs w:val="20"/>
              </w:rPr>
              <w:t>espécie.</w:t>
            </w:r>
          </w:p>
        </w:tc>
      </w:tr>
      <w:tr>
        <w:trPr/>
        <w:tc>
          <w:tcPr>
            <w:tcW w:w="9134" w:type="dxa"/>
            <w:gridSpan w:val="2"/>
            <w:tcBorders>
              <w:top w:val="single" w:sz="14" w:space="0" w:color="000001"/>
              <w:left w:val="single" w:sz="14" w:space="0" w:color="000001"/>
              <w:bottom w:val="single" w:sz="14" w:space="0" w:color="000001"/>
              <w:right w:val="single" w:sz="14" w:space="0" w:color="000001"/>
            </w:tcBorders>
            <w:shd w:fill="auto" w:val="clear"/>
            <w:vAlign w:val="center"/>
          </w:tcPr>
          <w:p>
            <w:pPr>
              <w:pStyle w:val="NoSpacing"/>
              <w:snapToGrid w:val="false"/>
              <w:jc w:val="both"/>
              <w:rPr/>
            </w:pPr>
            <w:r>
              <w:rPr>
                <w:rStyle w:val="Fontepargpadro3"/>
                <w:rFonts w:cs="Arial" w:ascii="Arial" w:hAnsi="Arial"/>
                <w:b/>
                <w:bCs/>
                <w:color w:val="000000"/>
                <w:sz w:val="20"/>
                <w:szCs w:val="20"/>
                <w:lang w:eastAsia="ar-SA"/>
              </w:rPr>
              <w:t xml:space="preserve">OBJETO: </w:t>
            </w:r>
            <w:r>
              <w:rPr>
                <w:rStyle w:val="Fontepargpadro3"/>
                <w:rFonts w:eastAsia="Times New Roman" w:cs="Arial" w:ascii="Arial" w:hAnsi="Arial"/>
                <w:b w:val="false"/>
                <w:bCs w:val="false"/>
                <w:i w:val="false"/>
                <w:iCs w:val="false"/>
                <w:color w:val="000000"/>
                <w:sz w:val="20"/>
                <w:szCs w:val="20"/>
                <w:highlight w:val="white"/>
                <w:lang w:val="pt-BR" w:eastAsia="pt-BR" w:bidi="ar-SA"/>
              </w:rPr>
              <w:t>Aquisição de materiais zootécnicos e medicamentos veterinários para os campi do Instituto Federal de Educação, Ciência e Tecnologia do Sertão Pernambucano</w:t>
            </w:r>
          </w:p>
        </w:tc>
      </w:tr>
      <w:tr>
        <w:trPr/>
        <w:tc>
          <w:tcPr>
            <w:tcW w:w="9134" w:type="dxa"/>
            <w:gridSpan w:val="2"/>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center"/>
              <w:rPr/>
            </w:pPr>
            <w:r>
              <w:rPr>
                <w:rStyle w:val="Fontepargpadro3"/>
                <w:rFonts w:eastAsia="DejaVu Sans" w:cs="Arial" w:ascii="Arial" w:hAnsi="Arial"/>
                <w:b/>
                <w:bCs/>
                <w:color w:val="000000"/>
                <w:sz w:val="20"/>
                <w:szCs w:val="20"/>
                <w:lang w:eastAsia="ar-SA" w:bidi="hi-IN"/>
              </w:rPr>
              <w:t>SESSÃO PÚBLICA</w:t>
            </w:r>
          </w:p>
        </w:tc>
      </w:tr>
      <w:tr>
        <w:trPr/>
        <w:tc>
          <w:tcPr>
            <w:tcW w:w="3990"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 xml:space="preserve">DATA: </w:t>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 xml:space="preserve"> </w:t>
            </w:r>
            <w:r>
              <w:rPr>
                <w:rStyle w:val="Fontepargpadro3"/>
                <w:rFonts w:eastAsia="DejaVu Sans" w:cs="Arial" w:ascii="Arial" w:hAnsi="Arial"/>
                <w:b/>
                <w:bCs/>
                <w:color w:val="000000"/>
                <w:sz w:val="20"/>
                <w:szCs w:val="20"/>
                <w:lang w:val="pt-BR" w:eastAsia="ar-SA" w:bidi="hi-IN"/>
              </w:rPr>
              <w:t>xx/xx</w:t>
            </w:r>
            <w:r>
              <w:rPr>
                <w:rStyle w:val="Fontepargpadro3"/>
                <w:rFonts w:eastAsia="DejaVu Sans" w:cs="Arial" w:ascii="Arial" w:hAnsi="Arial"/>
                <w:b/>
                <w:bCs/>
                <w:color w:val="000000"/>
                <w:sz w:val="20"/>
                <w:szCs w:val="20"/>
                <w:lang w:eastAsia="ar-SA" w:bidi="hi-IN"/>
              </w:rPr>
              <w:t>/20XX</w:t>
            </w:r>
          </w:p>
        </w:tc>
      </w:tr>
      <w:tr>
        <w:trPr/>
        <w:tc>
          <w:tcPr>
            <w:tcW w:w="3990"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HORÁRIO:</w:t>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XX: XX hs (Horário de Brasília)</w:t>
            </w:r>
          </w:p>
        </w:tc>
      </w:tr>
      <w:tr>
        <w:trPr/>
        <w:tc>
          <w:tcPr>
            <w:tcW w:w="3990" w:type="dxa"/>
            <w:tcBorders>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LOCAL:</w:t>
            </w:r>
          </w:p>
        </w:tc>
        <w:tc>
          <w:tcPr>
            <w:tcW w:w="5144" w:type="dxa"/>
            <w:tcBorders>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www.comprasgovernamentais.gov.br</w:t>
            </w:r>
          </w:p>
        </w:tc>
      </w:tr>
      <w:tr>
        <w:trPr/>
        <w:tc>
          <w:tcPr>
            <w:tcW w:w="3990" w:type="dxa"/>
            <w:tcBorders>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MODO DE DISPUTA</w:t>
            </w:r>
          </w:p>
        </w:tc>
        <w:tc>
          <w:tcPr>
            <w:tcW w:w="5144" w:type="dxa"/>
            <w:tcBorders>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val="false"/>
                <w:bCs w:val="false"/>
                <w:color w:val="000000"/>
                <w:sz w:val="20"/>
                <w:szCs w:val="20"/>
                <w:lang w:eastAsia="ar-SA" w:bidi="hi-IN"/>
              </w:rPr>
              <w:t>Aberto e Fechado</w:t>
            </w:r>
          </w:p>
        </w:tc>
      </w:tr>
      <w:tr>
        <w:trPr/>
        <w:tc>
          <w:tcPr>
            <w:tcW w:w="3990"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CRITÉRIO DE JULGAMENTO</w:t>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b w:val="false"/>
                <w:bCs w:val="false"/>
                <w:color w:val="000000"/>
                <w:sz w:val="20"/>
                <w:szCs w:val="20"/>
                <w:lang w:eastAsia="ar-SA" w:bidi="hi-IN"/>
              </w:rPr>
              <w:t>Menor Preço por Item</w:t>
            </w:r>
          </w:p>
        </w:tc>
      </w:tr>
      <w:tr>
        <w:trPr/>
        <w:tc>
          <w:tcPr>
            <w:tcW w:w="3990"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rPr/>
            </w:pPr>
            <w:r>
              <w:rPr>
                <w:rStyle w:val="Fontepargpadro3"/>
                <w:rFonts w:eastAsia="DejaVu Sans" w:cs="Arial" w:ascii="Arial" w:hAnsi="Arial"/>
                <w:b/>
                <w:bCs/>
                <w:color w:val="000000"/>
                <w:w w:val="90"/>
                <w:sz w:val="20"/>
                <w:szCs w:val="20"/>
                <w:lang w:eastAsia="ar-SA" w:bidi="hi-IN"/>
              </w:rPr>
              <w:t>UASG/ÓRGÃO GERENCIADOR</w:t>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b/>
                <w:bCs/>
                <w:color w:val="000000"/>
                <w:sz w:val="20"/>
                <w:szCs w:val="20"/>
                <w:lang w:eastAsia="ar-SA" w:bidi="hi-IN"/>
              </w:rPr>
              <w:t>158149 / Reitoria</w:t>
            </w:r>
          </w:p>
        </w:tc>
      </w:tr>
      <w:tr>
        <w:trPr/>
        <w:tc>
          <w:tcPr>
            <w:tcW w:w="3990" w:type="dxa"/>
            <w:vMerge w:val="restart"/>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center"/>
              <w:rPr/>
            </w:pPr>
            <w:r>
              <w:rPr>
                <w:rStyle w:val="Fontepargpadro3"/>
                <w:rFonts w:eastAsia="DejaVu Sans" w:cs="Arial" w:ascii="Arial" w:hAnsi="Arial"/>
                <w:b/>
                <w:bCs/>
                <w:color w:val="000000"/>
                <w:w w:val="90"/>
                <w:sz w:val="20"/>
                <w:szCs w:val="20"/>
                <w:lang w:eastAsia="ar-SA" w:bidi="hi-IN"/>
              </w:rPr>
              <w:t>ÓRGÃOS PARTICIPANTES</w:t>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158570 / Campus Ouricuri</w:t>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158740 / Campus de Santa M. B. Vista</w:t>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158741 / Campus Serra Talhada</w:t>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158499 / Campus Petrolina</w:t>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rStyle w:val="Fontepargpadro3"/>
                <w:rFonts w:ascii="Arial" w:hAnsi="Arial" w:eastAsia="DejaVu Sans" w:cs="Arial"/>
                <w:color w:val="000000"/>
                <w:sz w:val="20"/>
                <w:szCs w:val="20"/>
                <w:lang w:eastAsia="ar-SA" w:bidi="hi-IN"/>
              </w:rPr>
            </w:pPr>
            <w:r>
              <w:rPr>
                <w:rFonts w:eastAsia="DejaVu Sans" w:cs="Arial" w:ascii="Arial" w:hAnsi="Arial"/>
                <w:color w:val="000000"/>
                <w:sz w:val="20"/>
                <w:szCs w:val="20"/>
                <w:lang w:eastAsia="ar-SA" w:bidi="hi-IN"/>
              </w:rPr>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rFonts w:ascii="Arial" w:hAnsi="Arial"/>
                <w:sz w:val="20"/>
                <w:szCs w:val="20"/>
              </w:rPr>
            </w:pPr>
            <w:r>
              <w:rPr>
                <w:rFonts w:ascii="Arial" w:hAnsi="Arial"/>
                <w:sz w:val="20"/>
                <w:szCs w:val="20"/>
              </w:rPr>
            </w:r>
          </w:p>
        </w:tc>
      </w:tr>
      <w:tr>
        <w:trPr/>
        <w:tc>
          <w:tcPr>
            <w:tcW w:w="3990" w:type="dxa"/>
            <w:vMerge w:val="continue"/>
            <w:tcBorders>
              <w:top w:val="single" w:sz="14" w:space="0" w:color="000001"/>
              <w:left w:val="single" w:sz="14" w:space="0" w:color="000001"/>
              <w:bottom w:val="single" w:sz="14" w:space="0" w:color="000001"/>
              <w:right w:val="single" w:sz="14" w:space="0" w:color="000001"/>
            </w:tcBorders>
            <w:shd w:fill="auto" w:val="clear"/>
            <w:vAlign w:val="center"/>
          </w:tcPr>
          <w:p>
            <w:pPr>
              <w:pStyle w:val="Normal"/>
              <w:rPr>
                <w:rFonts w:ascii="Arial" w:hAnsi="Arial"/>
              </w:rPr>
            </w:pPr>
            <w:r>
              <w:rPr>
                <w:rFonts w:ascii="Arial" w:hAnsi="Arial"/>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Normal"/>
              <w:snapToGrid w:val="false"/>
              <w:jc w:val="both"/>
              <w:rPr>
                <w:rStyle w:val="Fontepargpadro3"/>
                <w:rFonts w:ascii="Arial" w:hAnsi="Arial" w:eastAsia="DejaVu Sans" w:cs="Arial"/>
                <w:color w:val="000000"/>
                <w:sz w:val="20"/>
                <w:szCs w:val="20"/>
                <w:lang w:eastAsia="ar-SA" w:bidi="hi-IN"/>
              </w:rPr>
            </w:pPr>
            <w:r>
              <w:rPr>
                <w:rFonts w:eastAsia="DejaVu Sans" w:cs="Arial" w:ascii="Arial" w:hAnsi="Arial"/>
                <w:color w:val="000000"/>
                <w:sz w:val="20"/>
                <w:szCs w:val="20"/>
                <w:lang w:eastAsia="ar-SA" w:bidi="hi-IN"/>
              </w:rPr>
            </w:r>
          </w:p>
        </w:tc>
      </w:tr>
      <w:tr>
        <w:trPr/>
        <w:tc>
          <w:tcPr>
            <w:tcW w:w="3990"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Corpodetexto"/>
              <w:spacing w:lineRule="auto" w:line="240" w:before="0" w:after="52"/>
              <w:jc w:val="center"/>
              <w:rPr>
                <w:highlight w:val="yellow"/>
              </w:rPr>
            </w:pPr>
            <w:r>
              <w:rPr>
                <w:rFonts w:cs="Arial" w:ascii="Arial" w:hAnsi="Arial"/>
                <w:b/>
                <w:bCs/>
                <w:color w:val="000000"/>
                <w:sz w:val="20"/>
                <w:szCs w:val="20"/>
              </w:rPr>
              <w:t>Pregoeiro:</w:t>
            </w:r>
          </w:p>
          <w:p>
            <w:pPr>
              <w:pStyle w:val="Normal"/>
              <w:widowControl w:val="false"/>
              <w:spacing w:lineRule="auto" w:line="240" w:before="0" w:after="0"/>
              <w:jc w:val="center"/>
              <w:rPr>
                <w:highlight w:val="yellow"/>
              </w:rPr>
            </w:pPr>
            <w:r>
              <w:rPr>
                <w:rFonts w:eastAsia="Times New Roman" w:cs="Tahoma" w:ascii="Arial" w:hAnsi="Arial"/>
                <w:b w:val="false"/>
                <w:i w:val="false"/>
                <w:color w:val="000000"/>
                <w:sz w:val="22"/>
                <w:szCs w:val="24"/>
                <w:lang w:val="pt-BR" w:eastAsia="pt-BR" w:bidi="ar-SA"/>
              </w:rPr>
              <w:t>Silvanio Antônio de Carvalho</w:t>
            </w:r>
          </w:p>
          <w:p>
            <w:pPr>
              <w:pStyle w:val="Normal"/>
              <w:spacing w:lineRule="auto" w:line="240" w:before="52" w:after="52"/>
              <w:jc w:val="center"/>
              <w:rPr>
                <w:highlight w:val="yellow"/>
              </w:rPr>
            </w:pPr>
            <w:r>
              <w:rPr>
                <w:rFonts w:eastAsia="Times New Roman" w:cs="Arial" w:ascii="Arial" w:hAnsi="Arial"/>
                <w:b/>
                <w:bCs/>
                <w:color w:val="000000"/>
                <w:sz w:val="20"/>
                <w:szCs w:val="20"/>
                <w:lang w:eastAsia="pt-BR"/>
              </w:rPr>
              <w:t>Portaria nº 792, de 10 de Dezembro de 2020</w:t>
            </w:r>
          </w:p>
          <w:p>
            <w:pPr>
              <w:pStyle w:val="Corpodetexto"/>
              <w:spacing w:lineRule="auto" w:line="240" w:before="109" w:after="109"/>
              <w:jc w:val="center"/>
              <w:rPr>
                <w:highlight w:val="yellow"/>
              </w:rPr>
            </w:pPr>
            <w:r>
              <w:rPr>
                <w:rFonts w:eastAsia="Arial" w:cs="Arial" w:ascii="Arial" w:hAnsi="Arial"/>
                <w:sz w:val="20"/>
                <w:szCs w:val="20"/>
              </w:rPr>
              <w:t xml:space="preserve"> </w:t>
            </w:r>
            <w:r>
              <w:rPr>
                <w:rFonts w:cs="Arial" w:ascii="Arial" w:hAnsi="Arial"/>
                <w:b/>
                <w:bCs/>
                <w:sz w:val="20"/>
                <w:szCs w:val="20"/>
              </w:rPr>
              <w:t>Equipe de Apoio:</w:t>
            </w:r>
          </w:p>
          <w:p>
            <w:pPr>
              <w:pStyle w:val="Normal"/>
              <w:widowControl w:val="false"/>
              <w:spacing w:lineRule="auto" w:line="240" w:before="0" w:after="0"/>
              <w:jc w:val="center"/>
              <w:rPr>
                <w:highlight w:val="yellow"/>
              </w:rPr>
            </w:pPr>
            <w:r>
              <w:rPr>
                <w:rFonts w:eastAsia="Times New Roman" w:cs="Tahoma" w:ascii="Arial" w:hAnsi="Arial"/>
                <w:b w:val="false"/>
                <w:bCs/>
                <w:i w:val="false"/>
                <w:color w:val="000000"/>
                <w:sz w:val="22"/>
                <w:szCs w:val="24"/>
                <w:lang w:val="pt-BR" w:eastAsia="pt-BR" w:bidi="ar-SA"/>
              </w:rPr>
              <w:t>João Deryson Figueiredo Sampaio</w:t>
            </w:r>
          </w:p>
          <w:p>
            <w:pPr>
              <w:pStyle w:val="Corpodetexto"/>
              <w:spacing w:lineRule="auto" w:line="240" w:before="0" w:after="0"/>
              <w:jc w:val="center"/>
              <w:rPr>
                <w:highlight w:val="yellow"/>
              </w:rPr>
            </w:pPr>
            <w:r>
              <w:rPr>
                <w:rFonts w:cs="Arial" w:ascii="Arial" w:hAnsi="Arial"/>
                <w:sz w:val="20"/>
                <w:szCs w:val="20"/>
              </w:rPr>
              <w:t>Gerson de Alencar Lima</w:t>
            </w:r>
          </w:p>
          <w:p>
            <w:pPr>
              <w:pStyle w:val="Normal"/>
              <w:widowControl w:val="false"/>
              <w:spacing w:lineRule="auto" w:line="240" w:before="0" w:after="0"/>
              <w:jc w:val="center"/>
              <w:rPr>
                <w:highlight w:val="yellow"/>
              </w:rPr>
            </w:pPr>
            <w:r>
              <w:rPr>
                <w:rFonts w:cs="Arial" w:ascii="Arial" w:hAnsi="Arial"/>
                <w:b w:val="false"/>
                <w:i w:val="false"/>
                <w:color w:val="000000"/>
                <w:sz w:val="22"/>
                <w:szCs w:val="20"/>
              </w:rPr>
              <w:t>Franklin Torres Brandão</w:t>
            </w:r>
          </w:p>
          <w:p>
            <w:pPr>
              <w:pStyle w:val="Normal"/>
              <w:widowControl w:val="false"/>
              <w:spacing w:lineRule="auto" w:line="240" w:before="52" w:after="52"/>
              <w:jc w:val="center"/>
              <w:rPr>
                <w:rFonts w:ascii="Arial" w:hAnsi="Arial" w:eastAsia="Times New Roman" w:cs="Arial"/>
                <w:b/>
                <w:b/>
                <w:bCs/>
                <w:color w:val="000000"/>
                <w:sz w:val="20"/>
                <w:szCs w:val="20"/>
                <w:lang w:eastAsia="pt-BR"/>
              </w:rPr>
            </w:pPr>
            <w:r>
              <w:rPr>
                <w:rFonts w:eastAsia="Times New Roman" w:cs="Arial" w:ascii="Arial" w:hAnsi="Arial"/>
                <w:b/>
                <w:bCs/>
                <w:i w:val="false"/>
                <w:color w:val="000000"/>
                <w:sz w:val="20"/>
                <w:szCs w:val="20"/>
                <w:lang w:eastAsia="pt-BR"/>
              </w:rPr>
              <w:t>Portaria nº 792, de 10 de Dezembro de 2020</w:t>
            </w:r>
          </w:p>
          <w:p>
            <w:pPr>
              <w:pStyle w:val="Normal"/>
              <w:spacing w:lineRule="auto" w:line="240"/>
              <w:rPr>
                <w:rFonts w:ascii="Arial" w:hAnsi="Arial" w:eastAsia="Times New Roman" w:cs="Arial"/>
                <w:b/>
                <w:b/>
                <w:bCs/>
                <w:color w:val="000000"/>
                <w:sz w:val="20"/>
                <w:szCs w:val="20"/>
                <w:lang w:eastAsia="pt-BR" w:bidi="hi-IN"/>
              </w:rPr>
            </w:pPr>
            <w:r>
              <w:rPr>
                <w:rFonts w:eastAsia="Times New Roman" w:cs="Arial" w:ascii="Arial" w:hAnsi="Arial"/>
                <w:b/>
                <w:bCs/>
                <w:color w:val="000000"/>
                <w:sz w:val="20"/>
                <w:szCs w:val="20"/>
                <w:lang w:eastAsia="pt-BR" w:bidi="hi-IN"/>
              </w:rPr>
            </w:r>
          </w:p>
        </w:tc>
        <w:tc>
          <w:tcPr>
            <w:tcW w:w="5144" w:type="dxa"/>
            <w:tcBorders>
              <w:top w:val="single" w:sz="14" w:space="0" w:color="000001"/>
              <w:left w:val="single" w:sz="14" w:space="0" w:color="000001"/>
              <w:bottom w:val="single" w:sz="14" w:space="0" w:color="000001"/>
              <w:right w:val="single" w:sz="14" w:space="0" w:color="000001"/>
            </w:tcBorders>
            <w:shd w:fill="auto" w:val="clear"/>
            <w:vAlign w:val="center"/>
          </w:tcPr>
          <w:p>
            <w:pPr>
              <w:pStyle w:val="Padro1"/>
              <w:ind w:left="0" w:right="544" w:hanging="0"/>
              <w:jc w:val="both"/>
              <w:rPr>
                <w:rFonts w:ascii="Arial" w:hAnsi="Arial" w:cs="Times New Roman"/>
                <w:b/>
                <w:b/>
                <w:sz w:val="20"/>
                <w:szCs w:val="20"/>
              </w:rPr>
            </w:pPr>
            <w:r>
              <w:rPr>
                <w:rFonts w:cs="Times New Roman" w:ascii="Arial" w:hAnsi="Arial"/>
                <w:b/>
                <w:sz w:val="20"/>
                <w:szCs w:val="20"/>
              </w:rPr>
              <w:t>Instituto Federal de Educação, Ciências e Tecnologia do Sertão Pernambucano – Reitoria</w:t>
            </w:r>
          </w:p>
          <w:p>
            <w:pPr>
              <w:pStyle w:val="Padro1"/>
              <w:ind w:left="0" w:right="544" w:hanging="0"/>
              <w:jc w:val="both"/>
              <w:rPr/>
            </w:pPr>
            <w:r>
              <w:rPr>
                <w:rFonts w:cs="Times New Roman" w:ascii="Arial" w:hAnsi="Arial"/>
                <w:b/>
                <w:sz w:val="20"/>
                <w:szCs w:val="20"/>
              </w:rPr>
              <w:t xml:space="preserve">Endereço: </w:t>
            </w:r>
            <w:r>
              <w:rPr>
                <w:rStyle w:val="Fontepargpadro1"/>
                <w:rFonts w:cs="Times New Roman" w:ascii="Arial" w:hAnsi="Arial"/>
                <w:iCs/>
                <w:sz w:val="20"/>
                <w:szCs w:val="20"/>
              </w:rPr>
              <w:t>Rua Aristarco Lopes, 240, Centro, Petrolina-PE</w:t>
            </w:r>
            <w:r>
              <w:rPr>
                <w:rFonts w:cs="Times New Roman" w:ascii="Arial" w:hAnsi="Arial"/>
                <w:sz w:val="20"/>
                <w:szCs w:val="20"/>
              </w:rPr>
              <w:t xml:space="preserve">, CEP: 56.302-100. </w:t>
            </w:r>
            <w:r>
              <w:rPr>
                <w:rFonts w:cs="Times New Roman" w:ascii="Arial" w:hAnsi="Arial"/>
                <w:b/>
                <w:bCs/>
                <w:sz w:val="20"/>
                <w:szCs w:val="20"/>
              </w:rPr>
              <w:t xml:space="preserve">Tel.: </w:t>
            </w:r>
            <w:r>
              <w:rPr>
                <w:rFonts w:cs="Times New Roman" w:ascii="Arial" w:hAnsi="Arial"/>
                <w:sz w:val="20"/>
                <w:szCs w:val="20"/>
              </w:rPr>
              <w:t xml:space="preserve"> (87) 2101-2350</w:t>
            </w:r>
          </w:p>
          <w:p>
            <w:pPr>
              <w:pStyle w:val="Padro1"/>
              <w:snapToGrid w:val="false"/>
              <w:ind w:left="0" w:right="544" w:hanging="0"/>
              <w:jc w:val="both"/>
              <w:rPr/>
            </w:pPr>
            <w:bookmarkStart w:id="0" w:name="__DdeLink__22098_1240322061"/>
            <w:bookmarkStart w:id="1" w:name="__DdeLink__5145_16170755861"/>
            <w:bookmarkEnd w:id="0"/>
            <w:bookmarkEnd w:id="1"/>
            <w:r>
              <w:rPr>
                <w:rFonts w:cs="Times New Roman" w:ascii="Arial" w:hAnsi="Arial"/>
                <w:b/>
                <w:bCs/>
                <w:sz w:val="20"/>
                <w:szCs w:val="20"/>
              </w:rPr>
              <w:t xml:space="preserve">E-mail: </w:t>
            </w:r>
            <w:hyperlink r:id="rId2">
              <w:r>
                <w:rPr>
                  <w:rStyle w:val="LinkdaInternet"/>
                  <w:rFonts w:cs="Times New Roman" w:ascii="Arial" w:hAnsi="Arial"/>
                  <w:sz w:val="22"/>
                  <w:szCs w:val="22"/>
                </w:rPr>
                <w:t>licitacoes@ifsertao-pe.edu.br</w:t>
              </w:r>
            </w:hyperlink>
            <w:r>
              <w:rPr>
                <w:rFonts w:cs="Times New Roman" w:ascii="Arial" w:hAnsi="Arial"/>
                <w:sz w:val="20"/>
                <w:szCs w:val="20"/>
              </w:rPr>
              <w:t xml:space="preserve">   </w:t>
            </w:r>
          </w:p>
        </w:tc>
      </w:tr>
    </w:tbl>
    <w:p>
      <w:pPr>
        <w:pStyle w:val="Normal"/>
        <w:spacing w:lineRule="auto" w:line="360"/>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360"/>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360"/>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360"/>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360"/>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spacing w:lineRule="auto" w:line="360"/>
        <w:jc w:val="center"/>
        <w:rPr>
          <w:i w:val="false"/>
          <w:i w:val="false"/>
          <w:iCs w:val="false"/>
          <w:sz w:val="18"/>
          <w:szCs w:val="18"/>
        </w:rPr>
      </w:pPr>
      <w:r>
        <w:rPr>
          <w:rFonts w:eastAsia="Times New Roman" w:cs="Times New Roman" w:ascii="Times New Roman" w:hAnsi="Times New Roman"/>
          <w:b/>
          <w:bCs/>
          <w:i w:val="false"/>
          <w:iCs w:val="false"/>
          <w:color w:val="00000A"/>
          <w:sz w:val="18"/>
          <w:szCs w:val="18"/>
        </w:rPr>
        <w:t>INSTITUTO FEDERAL DE EDUCAÇÃO, CIÊNCIA E TECNOLOGIA DO SERTÃO PERNAMBUCANO</w:t>
      </w:r>
    </w:p>
    <w:p>
      <w:pPr>
        <w:pStyle w:val="Normal"/>
        <w:spacing w:lineRule="auto" w:line="360"/>
        <w:jc w:val="center"/>
        <w:rPr>
          <w:rFonts w:ascii="Arial" w:hAnsi="Arial" w:cs="Arial"/>
          <w:b/>
          <w:b/>
          <w:bCs/>
          <w:i/>
          <w:i/>
          <w:color w:val="FF0000"/>
          <w:sz w:val="20"/>
          <w:szCs w:val="20"/>
        </w:rPr>
      </w:pPr>
      <w:r>
        <w:rPr>
          <w:rFonts w:cs="Arial" w:ascii="Arial" w:hAnsi="Arial"/>
          <w:b/>
          <w:bCs/>
          <w:i/>
          <w:color w:val="FF0000"/>
          <w:sz w:val="20"/>
          <w:szCs w:val="20"/>
        </w:rPr>
      </w:r>
    </w:p>
    <w:p>
      <w:pPr>
        <w:pStyle w:val="Normal"/>
        <w:spacing w:lineRule="auto" w:line="360"/>
        <w:jc w:val="center"/>
        <w:rPr/>
      </w:pPr>
      <w:r>
        <w:rPr>
          <w:rFonts w:cs="Arial" w:ascii="Arial" w:hAnsi="Arial"/>
          <w:b/>
          <w:bCs/>
          <w:color w:val="000000"/>
          <w:sz w:val="20"/>
          <w:szCs w:val="20"/>
        </w:rPr>
        <w:t>PREGÃO ELETRÔNICO Nº 12/2021</w:t>
      </w:r>
    </w:p>
    <w:p>
      <w:pPr>
        <w:pStyle w:val="Normal"/>
        <w:spacing w:lineRule="auto" w:line="360"/>
        <w:jc w:val="center"/>
        <w:rPr>
          <w:rFonts w:ascii="Arial" w:hAnsi="Arial" w:cs="Arial"/>
          <w:bCs/>
          <w:color w:val="000000"/>
          <w:sz w:val="20"/>
          <w:szCs w:val="20"/>
        </w:rPr>
      </w:pPr>
      <w:r>
        <w:rPr>
          <w:rFonts w:cs="Arial" w:ascii="Arial" w:hAnsi="Arial"/>
          <w:bCs/>
          <w:color w:val="000000"/>
          <w:sz w:val="20"/>
          <w:szCs w:val="20"/>
        </w:rPr>
        <w:t xml:space="preserve">(Processo Administrativo n° </w:t>
      </w:r>
      <w:r>
        <w:rPr>
          <w:rFonts w:cs="Arial" w:ascii="Helvetica-Bold" w:hAnsi="Helvetica-Bold"/>
          <w:bCs/>
          <w:color w:val="000000"/>
          <w:sz w:val="20"/>
          <w:szCs w:val="20"/>
        </w:rPr>
        <w:t xml:space="preserve"> </w:t>
      </w:r>
      <w:r>
        <w:rPr>
          <w:rFonts w:eastAsia="" w:cs="Arial" w:ascii="Arial" w:hAnsi="Arial"/>
          <w:b/>
          <w:bCs/>
          <w:i w:val="false"/>
          <w:color w:val="000000"/>
          <w:kern w:val="0"/>
          <w:sz w:val="20"/>
          <w:szCs w:val="20"/>
          <w:lang w:val="pt-BR" w:eastAsia="pt-BR" w:bidi="ar-SA"/>
        </w:rPr>
        <w:t>23302.000690.2021-31</w:t>
      </w:r>
      <w:r>
        <w:rPr>
          <w:rFonts w:cs="Arial" w:ascii="Arial" w:hAnsi="Arial"/>
          <w:bCs/>
          <w:color w:val="000000"/>
          <w:sz w:val="20"/>
          <w:szCs w:val="20"/>
        </w:rPr>
        <w:t>)</w:t>
      </w:r>
    </w:p>
    <w:p>
      <w:pPr>
        <w:pStyle w:val="Normal"/>
        <w:spacing w:lineRule="auto" w:line="360" w:before="240" w:after="240"/>
        <w:ind w:right="0" w:firstLine="709"/>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360"/>
        <w:jc w:val="both"/>
        <w:rPr/>
      </w:pPr>
      <w:r>
        <w:rPr>
          <w:rFonts w:cs="Arial" w:ascii="Arial" w:hAnsi="Arial"/>
          <w:b/>
          <w:bCs/>
          <w:color w:val="000000"/>
          <w:sz w:val="20"/>
          <w:szCs w:val="20"/>
        </w:rPr>
        <w:t>Torna-se público, para conhecimento dos interessados, que o Instituto Federal de Educação, Ciência e Tecnologia do Sertão Pernambucano/Reitoria por meio da Diretoria de Licitação (DLIC)</w:t>
      </w:r>
      <w:r>
        <w:rPr>
          <w:rFonts w:cs="Arial" w:ascii="Arial" w:hAnsi="Arial"/>
          <w:color w:val="000000"/>
          <w:sz w:val="20"/>
          <w:szCs w:val="20"/>
        </w:rPr>
        <w:t xml:space="preserve">, sediado na Rua Aristarco Lopes, 240, Centro, Petrolina-PE, CEP: 56302-100, realizará licitação, para </w:t>
      </w:r>
      <w:r>
        <w:rPr>
          <w:rFonts w:cs="Arial" w:ascii="Arial" w:hAnsi="Arial"/>
          <w:b/>
          <w:bCs/>
          <w:color w:val="000000"/>
          <w:sz w:val="20"/>
          <w:szCs w:val="20"/>
        </w:rPr>
        <w:t>REGISTRO DE PREÇOS</w:t>
      </w:r>
      <w:r>
        <w:rPr>
          <w:rFonts w:cs="Arial" w:ascii="Arial" w:hAnsi="Arial"/>
          <w:color w:val="000000"/>
          <w:sz w:val="20"/>
          <w:szCs w:val="20"/>
        </w:rPr>
        <w:t xml:space="preserve">, na modalidade </w:t>
      </w:r>
      <w:r>
        <w:rPr>
          <w:rFonts w:cs="Arial" w:ascii="Arial" w:hAnsi="Arial"/>
          <w:b/>
          <w:bCs/>
          <w:color w:val="000000"/>
          <w:sz w:val="20"/>
          <w:szCs w:val="20"/>
        </w:rPr>
        <w:t>PREGÃO</w:t>
      </w:r>
      <w:r>
        <w:rPr>
          <w:rFonts w:cs="Arial" w:ascii="Arial" w:hAnsi="Arial"/>
          <w:bCs/>
          <w:color w:val="000000"/>
          <w:sz w:val="20"/>
          <w:szCs w:val="20"/>
        </w:rPr>
        <w:t xml:space="preserve">, </w:t>
      </w:r>
      <w:r>
        <w:rPr>
          <w:rFonts w:cs="Arial" w:ascii="Arial" w:hAnsi="Arial"/>
          <w:color w:val="000000"/>
          <w:sz w:val="20"/>
          <w:szCs w:val="20"/>
        </w:rPr>
        <w:t>na forma</w:t>
      </w:r>
      <w:r>
        <w:rPr>
          <w:rFonts w:cs="Arial" w:ascii="Arial" w:hAnsi="Arial"/>
          <w:bCs/>
          <w:color w:val="000000"/>
          <w:sz w:val="20"/>
          <w:szCs w:val="20"/>
        </w:rPr>
        <w:t xml:space="preserve"> </w:t>
      </w:r>
      <w:r>
        <w:rPr>
          <w:rFonts w:cs="Arial" w:ascii="Arial" w:hAnsi="Arial"/>
          <w:b/>
          <w:bCs/>
          <w:color w:val="000000"/>
          <w:sz w:val="20"/>
          <w:szCs w:val="20"/>
        </w:rPr>
        <w:t>ELETRÔNICA</w:t>
      </w:r>
      <w:r>
        <w:rPr>
          <w:rFonts w:cs="Arial" w:ascii="Arial" w:hAnsi="Arial"/>
          <w:bCs/>
          <w:color w:val="000000"/>
          <w:sz w:val="20"/>
          <w:szCs w:val="20"/>
        </w:rPr>
        <w:t xml:space="preserve">, com critério de julgamento </w:t>
      </w:r>
      <w:r>
        <w:rPr>
          <w:rFonts w:cs="Arial" w:ascii="Arial" w:hAnsi="Arial"/>
          <w:b/>
          <w:bCs/>
          <w:i/>
          <w:iCs/>
          <w:color w:val="000000"/>
          <w:sz w:val="20"/>
          <w:szCs w:val="20"/>
        </w:rPr>
        <w:t>MENOR PREÇO UNITÁRIO POR ITEM</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snapToGrid w:val="false"/>
        <w:spacing w:lineRule="auto" w:line="360" w:before="0" w:after="120"/>
        <w:ind w:right="0" w:hanging="0"/>
        <w:jc w:val="both"/>
        <w:rPr>
          <w:rFonts w:ascii="Arial" w:hAnsi="Arial" w:eastAsia="Arial" w:cs="Arial"/>
          <w:color w:val="000000" w:themeColor="text1"/>
          <w:sz w:val="20"/>
          <w:szCs w:val="20"/>
        </w:rPr>
      </w:pPr>
      <w:r>
        <w:rPr>
          <w:rFonts w:eastAsia="Arial" w:cs="Arial" w:ascii="Arial" w:hAnsi="Arial"/>
          <w:color w:val="000000" w:themeColor="text1"/>
          <w:sz w:val="20"/>
          <w:szCs w:val="20"/>
        </w:rPr>
      </w:r>
    </w:p>
    <w:p>
      <w:pPr>
        <w:pStyle w:val="Normal"/>
        <w:spacing w:lineRule="auto" w:line="360"/>
        <w:jc w:val="both"/>
        <w:rPr/>
      </w:pPr>
      <w:r>
        <w:rPr>
          <w:rFonts w:cs="Arial" w:ascii="Arial" w:hAnsi="Arial"/>
          <w:color w:val="000000"/>
          <w:sz w:val="20"/>
          <w:szCs w:val="20"/>
        </w:rPr>
        <w:t>Data da sessão:</w:t>
      </w:r>
    </w:p>
    <w:p>
      <w:pPr>
        <w:pStyle w:val="Normal"/>
        <w:spacing w:lineRule="auto" w:line="360"/>
        <w:rPr>
          <w:rFonts w:ascii="Arial" w:hAnsi="Arial" w:cs="Arial"/>
          <w:sz w:val="20"/>
          <w:szCs w:val="20"/>
        </w:rPr>
      </w:pPr>
      <w:r>
        <w:rPr>
          <w:rFonts w:cs="Arial" w:ascii="Arial" w:hAnsi="Arial"/>
          <w:color w:val="000000"/>
          <w:sz w:val="20"/>
          <w:szCs w:val="20"/>
        </w:rPr>
        <w:t xml:space="preserve">Horário: </w:t>
      </w:r>
    </w:p>
    <w:p>
      <w:pPr>
        <w:pStyle w:val="Normal"/>
        <w:spacing w:lineRule="auto" w:line="360"/>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1"/>
        </w:numPr>
        <w:spacing w:lineRule="auto" w:line="360"/>
        <w:rPr>
          <w:rFonts w:ascii="Arial" w:hAnsi="Arial" w:cs="Arial"/>
        </w:rPr>
      </w:pPr>
      <w:r>
        <w:rPr>
          <w:rFonts w:cs="Arial" w:ascii="Arial" w:hAnsi="Arial"/>
        </w:rPr>
        <w:t>DO OBJETO</w:t>
      </w:r>
    </w:p>
    <w:p>
      <w:pPr>
        <w:pStyle w:val="Normal"/>
        <w:numPr>
          <w:ilvl w:val="1"/>
          <w:numId w:val="2"/>
        </w:numPr>
        <w:spacing w:lineRule="auto" w:line="360" w:before="120" w:after="120"/>
        <w:ind w:left="425" w:hanging="0"/>
        <w:jc w:val="both"/>
        <w:rPr/>
      </w:pPr>
      <w:r>
        <w:rPr>
          <w:rFonts w:cs="Arial" w:ascii="Arial" w:hAnsi="Arial"/>
          <w:color w:val="000000"/>
          <w:sz w:val="20"/>
          <w:szCs w:val="20"/>
        </w:rPr>
        <w:t xml:space="preserve">O objeto da presente licitação é a escolha da proposta mais vantajosa para a aquisição </w:t>
      </w:r>
      <w:r>
        <w:rPr>
          <w:rStyle w:val="Fontepargpadro3"/>
          <w:rFonts w:eastAsia="Times New Roman" w:cs="Arial" w:ascii="Arial" w:hAnsi="Arial"/>
          <w:b w:val="false"/>
          <w:bCs w:val="false"/>
          <w:i w:val="false"/>
          <w:iCs w:val="false"/>
          <w:color w:val="000000"/>
          <w:sz w:val="20"/>
          <w:szCs w:val="20"/>
          <w:highlight w:val="white"/>
          <w:lang w:val="pt-BR" w:eastAsia="pt-BR" w:bidi="ar-SA"/>
        </w:rPr>
        <w:t>de materiais zootécnicos e medicamentos veterinários</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2"/>
        </w:numPr>
        <w:spacing w:lineRule="auto" w:line="360" w:before="120" w:after="120"/>
        <w:ind w:left="425" w:hanging="0"/>
        <w:jc w:val="both"/>
        <w:rPr>
          <w:i w:val="false"/>
          <w:i w:val="false"/>
          <w:iCs w:val="false"/>
        </w:rPr>
      </w:pPr>
      <w:r>
        <w:rPr>
          <w:rFonts w:cs="Arial" w:ascii="Arial" w:hAnsi="Arial"/>
          <w:i w:val="false"/>
          <w:iCs w:val="false"/>
          <w:color w:val="000000"/>
          <w:sz w:val="20"/>
          <w:szCs w:val="20"/>
        </w:rPr>
        <w:t>A licitação será dividida em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do Termo de Referência, facultando-se ao licitante a participação em quantos itens forem de seu interesse.</w:t>
      </w:r>
      <w:r>
        <w:rPr>
          <w:rFonts w:cs="Arial" w:ascii="Arial" w:hAnsi="Arial"/>
          <w:b/>
          <w:i w:val="false"/>
          <w:iCs w:val="false"/>
          <w:color w:val="000000"/>
          <w:sz w:val="20"/>
          <w:szCs w:val="20"/>
        </w:rPr>
        <w:t xml:space="preserve"> </w:t>
      </w:r>
    </w:p>
    <w:p>
      <w:pPr>
        <w:pStyle w:val="Corpodotexto"/>
        <w:numPr>
          <w:ilvl w:val="1"/>
          <w:numId w:val="2"/>
        </w:numPr>
        <w:rPr/>
      </w:pPr>
      <w:r>
        <w:rPr>
          <w:rFonts w:eastAsia="" w:cs="Arial" w:ascii="Arial" w:hAnsi="Arial"/>
          <w:i w:val="false"/>
          <w:iCs w:val="false"/>
          <w:color w:val="000000"/>
          <w:kern w:val="0"/>
          <w:sz w:val="20"/>
          <w:szCs w:val="20"/>
          <w:lang w:val="pt-BR" w:eastAsia="pt-BR" w:bidi="ar-SA"/>
        </w:rPr>
        <w:t xml:space="preserve">O </w:t>
      </w:r>
      <w:r>
        <w:rPr>
          <w:rFonts w:eastAsia="" w:cs="Arial" w:ascii="Arial" w:hAnsi="Arial"/>
          <w:b/>
          <w:bCs/>
          <w:i w:val="false"/>
          <w:iCs w:val="false"/>
          <w:color w:val="000000"/>
          <w:kern w:val="0"/>
          <w:sz w:val="20"/>
          <w:szCs w:val="20"/>
          <w:lang w:val="pt-BR" w:eastAsia="pt-BR" w:bidi="ar-SA"/>
        </w:rPr>
        <w:t>critério de julgamento</w:t>
      </w:r>
      <w:r>
        <w:rPr>
          <w:rFonts w:eastAsia="" w:cs="Arial" w:ascii="Arial" w:hAnsi="Arial"/>
          <w:i w:val="false"/>
          <w:iCs w:val="false"/>
          <w:color w:val="000000"/>
          <w:kern w:val="0"/>
          <w:sz w:val="20"/>
          <w:szCs w:val="20"/>
          <w:lang w:val="pt-BR" w:eastAsia="pt-BR" w:bidi="ar-SA"/>
        </w:rPr>
        <w:t xml:space="preserve"> adotado será o </w:t>
      </w:r>
      <w:r>
        <w:rPr>
          <w:rFonts w:eastAsia="" w:cs="Arial" w:ascii="Arial" w:hAnsi="Arial"/>
          <w:b/>
          <w:bCs/>
          <w:i w:val="false"/>
          <w:iCs w:val="false"/>
          <w:color w:val="000000"/>
          <w:kern w:val="0"/>
          <w:sz w:val="20"/>
          <w:szCs w:val="20"/>
          <w:lang w:val="pt-BR" w:eastAsia="pt-BR" w:bidi="ar-SA"/>
        </w:rPr>
        <w:t>menor preço por item</w:t>
      </w:r>
      <w:r>
        <w:rPr>
          <w:rFonts w:eastAsia="" w:cs="Arial" w:ascii="Arial" w:hAnsi="Arial"/>
          <w:i w:val="false"/>
          <w:iCs w:val="false"/>
          <w:color w:val="000000"/>
          <w:kern w:val="0"/>
          <w:sz w:val="20"/>
          <w:szCs w:val="20"/>
          <w:lang w:val="pt-BR" w:eastAsia="pt-BR" w:bidi="ar-SA"/>
        </w:rPr>
        <w:t xml:space="preserve">, observadas as exigências contidas neste Edital e seus Anexos quanto às especificações do objeto. </w:t>
      </w:r>
    </w:p>
    <w:p>
      <w:pPr>
        <w:pStyle w:val="Normal"/>
        <w:spacing w:lineRule="auto" w:line="360"/>
        <w:rPr>
          <w:i w:val="false"/>
          <w:i w:val="false"/>
          <w:iCs w:val="false"/>
          <w:color w:val="000000"/>
        </w:rPr>
      </w:pPr>
      <w:r>
        <w:rPr>
          <w:i w:val="false"/>
          <w:iCs w:val="false"/>
          <w:color w:val="000000"/>
        </w:rPr>
      </w:r>
    </w:p>
    <w:p>
      <w:pPr>
        <w:pStyle w:val="Normal"/>
        <w:spacing w:lineRule="auto" w:line="360"/>
        <w:rPr>
          <w:i w:val="false"/>
          <w:i w:val="false"/>
          <w:iCs w:val="false"/>
          <w:color w:val="000000"/>
        </w:rPr>
      </w:pPr>
      <w:r>
        <w:rPr>
          <w:rFonts w:cs="Arial" w:ascii="Arial" w:hAnsi="Arial"/>
          <w:b/>
          <w:i w:val="false"/>
          <w:iCs w:val="false"/>
          <w:color w:val="000000"/>
          <w:sz w:val="20"/>
          <w:szCs w:val="20"/>
        </w:rPr>
        <w:t xml:space="preserve">2.  DO REGISTRO DE PREÇOS </w:t>
      </w:r>
    </w:p>
    <w:p>
      <w:pPr>
        <w:pStyle w:val="Normal"/>
        <w:widowControl/>
        <w:numPr>
          <w:ilvl w:val="0"/>
          <w:numId w:val="0"/>
        </w:numPr>
        <w:suppressAutoHyphens w:val="false"/>
        <w:bidi w:val="0"/>
        <w:spacing w:lineRule="auto" w:line="360" w:before="120" w:after="120"/>
        <w:ind w:left="0" w:right="0" w:hanging="0"/>
        <w:jc w:val="both"/>
        <w:rPr>
          <w:i w:val="false"/>
          <w:i w:val="false"/>
          <w:iCs w:val="false"/>
          <w:color w:val="000000"/>
        </w:rPr>
      </w:pPr>
      <w:r>
        <w:rPr>
          <w:rFonts w:cs="Arial" w:ascii="Arial" w:hAnsi="Arial"/>
          <w:b/>
          <w:bCs/>
          <w:i w:val="false"/>
          <w:iCs w:val="false"/>
          <w:color w:val="000000"/>
          <w:sz w:val="20"/>
          <w:szCs w:val="20"/>
        </w:rPr>
        <w:t>2.1</w:t>
      </w:r>
      <w:r>
        <w:rPr>
          <w:rFonts w:cs="Arial" w:ascii="Arial" w:hAnsi="Arial"/>
          <w:i w:val="false"/>
          <w:iCs w:val="false"/>
          <w:color w:val="000000"/>
          <w:sz w:val="20"/>
          <w:szCs w:val="20"/>
        </w:rPr>
        <w:t xml:space="preserve"> As regras referentes aos órgãos gerenciador e participantes, bem como a eventuais adesões são as que constam da minuta de Ata de Registro de Preços</w:t>
      </w:r>
    </w:p>
    <w:p>
      <w:pPr>
        <w:pStyle w:val="Nivel01"/>
        <w:numPr>
          <w:ilvl w:val="0"/>
          <w:numId w:val="0"/>
        </w:numPr>
        <w:spacing w:lineRule="auto" w:line="360"/>
        <w:ind w:left="0" w:hanging="0"/>
        <w:rPr>
          <w:rFonts w:ascii="Arial" w:hAnsi="Arial" w:cs="Arial"/>
        </w:rPr>
      </w:pPr>
      <w:r>
        <w:rPr>
          <w:rFonts w:cs="Arial" w:ascii="Arial" w:hAnsi="Arial"/>
        </w:rPr>
        <w:t>3. DO CREDENCIAMENTO</w:t>
      </w:r>
    </w:p>
    <w:p>
      <w:pPr>
        <w:pStyle w:val="Normal"/>
        <w:widowControl/>
        <w:numPr>
          <w:ilvl w:val="0"/>
          <w:numId w:val="0"/>
        </w:numPr>
        <w:suppressAutoHyphens w:val="false"/>
        <w:bidi w:val="0"/>
        <w:spacing w:lineRule="auto" w:line="360" w:before="120" w:after="120"/>
        <w:ind w:left="0" w:right="0"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widowControl/>
        <w:numPr>
          <w:ilvl w:val="0"/>
          <w:numId w:val="0"/>
        </w:numPr>
        <w:suppressAutoHyphens w:val="false"/>
        <w:bidi w:val="0"/>
        <w:spacing w:lineRule="auto" w:line="360" w:before="120" w:after="120"/>
        <w:ind w:left="0" w:right="0" w:hanging="0"/>
        <w:contextualSpacing/>
        <w:jc w:val="both"/>
        <w:rPr/>
      </w:pPr>
      <w:r>
        <w:rPr>
          <w:rFonts w:cs="Arial" w:ascii="Arial" w:hAnsi="Arial"/>
          <w:color w:val="000000" w:themeColor="text1"/>
          <w:sz w:val="20"/>
          <w:szCs w:val="20"/>
        </w:rPr>
        <w:t xml:space="preserve">3.2 O cadastro no SICAF deverá ser feito no Portal de Compras do Governo Federal, no sítio </w:t>
      </w:r>
      <w:hyperlink r:id="rId3">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ListParagraph"/>
        <w:widowControl/>
        <w:numPr>
          <w:ilvl w:val="0"/>
          <w:numId w:val="0"/>
        </w:numPr>
        <w:suppressAutoHyphens w:val="false"/>
        <w:bidi w:val="0"/>
        <w:spacing w:lineRule="auto" w:line="360" w:before="120" w:after="120"/>
        <w:ind w:left="0" w:right="0" w:hanging="0"/>
        <w:contextualSpacing/>
        <w:jc w:val="both"/>
        <w:rPr/>
      </w:pPr>
      <w:r>
        <w:rPr>
          <w:rFonts w:cs="Arial" w:ascii="Arial" w:hAnsi="Arial"/>
          <w:color w:val="000000" w:themeColor="text1"/>
          <w:sz w:val="20"/>
          <w:szCs w:val="20"/>
        </w:rPr>
        <w:t xml:space="preserve">3.3 </w:t>
      </w: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ListParagraph"/>
        <w:widowControl/>
        <w:numPr>
          <w:ilvl w:val="0"/>
          <w:numId w:val="0"/>
        </w:numPr>
        <w:suppressAutoHyphens w:val="false"/>
        <w:bidi w:val="0"/>
        <w:spacing w:lineRule="auto" w:line="360" w:before="120" w:after="120"/>
        <w:ind w:left="0" w:right="0" w:hanging="0"/>
        <w:contextualSpacing/>
        <w:jc w:val="both"/>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ListParagraph"/>
        <w:widowControl/>
        <w:numPr>
          <w:ilvl w:val="0"/>
          <w:numId w:val="0"/>
        </w:numPr>
        <w:suppressAutoHyphens w:val="false"/>
        <w:bidi w:val="0"/>
        <w:spacing w:lineRule="auto" w:line="360" w:before="120" w:after="120"/>
        <w:ind w:left="0" w:right="0" w:hanging="0"/>
        <w:contextualSpacing/>
        <w:jc w:val="both"/>
        <w:rPr/>
      </w:pPr>
      <w:r>
        <w:rPr>
          <w:rFonts w:cs="Arial" w:ascii="Arial" w:hAnsi="Arial"/>
          <w:color w:val="000000" w:themeColor="text1"/>
          <w:sz w:val="20"/>
          <w:szCs w:val="20"/>
        </w:rPr>
        <w:t xml:space="preserve">3.5 </w:t>
      </w:r>
      <w:r>
        <w:rPr>
          <w:rFonts w:cs="Arial" w:ascii="Arial" w:hAnsi="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ListParagraph"/>
        <w:widowControl/>
        <w:numPr>
          <w:ilvl w:val="0"/>
          <w:numId w:val="0"/>
        </w:numPr>
        <w:suppressAutoHyphens w:val="false"/>
        <w:bidi w:val="0"/>
        <w:spacing w:lineRule="auto" w:line="360" w:before="120" w:after="120"/>
        <w:ind w:left="0" w:right="0" w:hanging="0"/>
        <w:contextualSpacing/>
        <w:jc w:val="both"/>
        <w:rPr/>
      </w:pPr>
      <w:r>
        <w:rPr>
          <w:rFonts w:cs="Arial" w:ascii="Arial" w:hAnsi="Arial"/>
          <w:color w:val="000000"/>
          <w:sz w:val="20"/>
          <w:szCs w:val="20"/>
        </w:rPr>
        <w:t>3.5.1 A não observância do disposto no subitem anterior poderá ensejar desclassificação no momento da habilitação</w:t>
      </w:r>
    </w:p>
    <w:p>
      <w:pPr>
        <w:pStyle w:val="ListParagraph"/>
        <w:widowControl/>
        <w:numPr>
          <w:ilvl w:val="0"/>
          <w:numId w:val="0"/>
        </w:numPr>
        <w:suppressAutoHyphens w:val="false"/>
        <w:bidi w:val="0"/>
        <w:spacing w:lineRule="auto" w:line="360" w:before="120" w:after="120"/>
        <w:ind w:left="658"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false"/>
        <w:bidi w:val="0"/>
        <w:spacing w:lineRule="auto" w:line="360" w:before="120" w:after="120"/>
        <w:ind w:left="0" w:right="0" w:hanging="0"/>
        <w:contextualSpacing/>
        <w:jc w:val="both"/>
        <w:rPr>
          <w:rFonts w:ascii="Arial" w:hAnsi="Arial" w:eastAsia="ＭＳ ゴシック" w:cs="Arial"/>
          <w:b/>
          <w:b/>
          <w:bCs/>
          <w:color w:val="000000"/>
          <w:sz w:val="20"/>
          <w:szCs w:val="20"/>
          <w:lang w:val="pt-BR" w:eastAsia="pt-BR" w:bidi="ar-SA"/>
        </w:rPr>
      </w:pPr>
      <w:r>
        <w:rPr>
          <w:rFonts w:eastAsia="ＭＳ ゴシック" w:cs="Arial" w:ascii="Arial" w:hAnsi="Arial"/>
          <w:b/>
          <w:bCs/>
          <w:color w:val="000000"/>
          <w:sz w:val="20"/>
          <w:szCs w:val="20"/>
          <w:lang w:val="pt-BR" w:eastAsia="pt-BR" w:bidi="ar-SA"/>
        </w:rPr>
        <w:t>4. DA PARTICIPAÇÃO NO PREGÃO.</w:t>
      </w:r>
    </w:p>
    <w:p>
      <w:pPr>
        <w:pStyle w:val="Normal"/>
        <w:numPr>
          <w:ilvl w:val="0"/>
          <w:numId w:val="0"/>
        </w:numPr>
        <w:spacing w:lineRule="auto" w:line="360" w:before="120" w:after="120"/>
        <w:ind w:left="0"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numPr>
          <w:ilvl w:val="0"/>
          <w:numId w:val="0"/>
        </w:numPr>
        <w:spacing w:lineRule="auto" w:line="360" w:before="120" w:after="120"/>
        <w:ind w:left="0" w:hanging="0"/>
        <w:jc w:val="both"/>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360" w:before="120" w:after="120"/>
        <w:ind w:left="0" w:hanging="0"/>
        <w:jc w:val="both"/>
        <w:rPr>
          <w:color w:val="000000"/>
        </w:rPr>
      </w:pPr>
      <w:r>
        <w:rPr>
          <w:rFonts w:cs="Arial" w:ascii="Arial" w:hAnsi="Arial"/>
          <w:b/>
          <w:bCs/>
          <w:color w:val="000000"/>
          <w:sz w:val="20"/>
          <w:szCs w:val="20"/>
        </w:rPr>
        <w:t>4.1.2 Para TODOS os itens desta licitação</w:t>
      </w:r>
      <w:r>
        <w:rPr>
          <w:rFonts w:cs="Arial" w:ascii="Arial" w:hAnsi="Arial"/>
          <w:color w:val="000000"/>
          <w:sz w:val="20"/>
          <w:szCs w:val="20"/>
        </w:rPr>
        <w:t xml:space="preserve"> a participação é exclusiva a microempresas e empresas de pequeno porte, nos termos do art. 48 da Lei Complementar nº 123, de 14 de dezembro de 2006.</w:t>
      </w:r>
    </w:p>
    <w:p>
      <w:pPr>
        <w:pStyle w:val="Normal"/>
        <w:numPr>
          <w:ilvl w:val="0"/>
          <w:numId w:val="0"/>
        </w:numPr>
        <w:spacing w:lineRule="auto" w:line="360" w:before="120" w:after="120"/>
        <w:ind w:left="0" w:hanging="0"/>
        <w:jc w:val="both"/>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0"/>
          <w:numId w:val="0"/>
        </w:numPr>
        <w:snapToGrid w:val="false"/>
        <w:spacing w:lineRule="auto" w:line="360" w:before="120" w:after="120"/>
        <w:ind w:left="0" w:hanging="0"/>
        <w:jc w:val="both"/>
        <w:rPr/>
      </w:pPr>
      <w:r>
        <w:rPr>
          <w:rFonts w:cs="Arial" w:ascii="Arial" w:hAnsi="Arial"/>
          <w:bCs/>
          <w:color w:val="000000"/>
          <w:sz w:val="20"/>
          <w:szCs w:val="20"/>
        </w:rPr>
        <w:t>4.3 Não poderão participar desta licitação os interessados: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Zurich BT" w:cs="Arial"/>
          <w:bCs/>
          <w:color w:val="000000"/>
          <w:sz w:val="20"/>
          <w:szCs w:val="20"/>
        </w:rPr>
      </w:pPr>
      <w:r>
        <w:rPr>
          <w:rFonts w:cs="Arial" w:ascii="Arial" w:hAnsi="Arial"/>
          <w:sz w:val="20"/>
          <w:szCs w:val="20"/>
        </w:rPr>
        <w:t xml:space="preserve">4.3.5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sz w:val="20"/>
          <w:szCs w:val="20"/>
        </w:rPr>
        <w:t>4.3.6 entidades empresariais que estejam reunidas em consórcio;</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color w:val="000000"/>
          <w:sz w:val="20"/>
          <w:szCs w:val="20"/>
        </w:rPr>
        <w:t>4.3.7 Organizações da Sociedade Civil de Interesse Público - OSCIP, atuando nessa condição (Acórdão nº 746/2014-TCU-Plenário).</w:t>
      </w:r>
    </w:p>
    <w:p>
      <w:pPr>
        <w:pStyle w:val="Normal"/>
        <w:tabs>
          <w:tab w:val="clear" w:pos="720"/>
          <w:tab w:val="left" w:pos="1440" w:leader="none"/>
        </w:tabs>
        <w:snapToGrid w:val="false"/>
        <w:spacing w:lineRule="auto" w:line="360" w:before="120" w:after="12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snapToGrid w:val="false"/>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0"/>
          <w:numId w:val="0"/>
        </w:numPr>
        <w:tabs>
          <w:tab w:val="clear" w:pos="720"/>
          <w:tab w:val="left" w:pos="1440" w:leader="none"/>
        </w:tabs>
        <w:snapToGrid w:val="false"/>
        <w:spacing w:lineRule="auto" w:line="360" w:before="120" w:after="120"/>
        <w:ind w:left="1440"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numPr>
          <w:ilvl w:val="0"/>
          <w:numId w:val="0"/>
        </w:numPr>
        <w:tabs>
          <w:tab w:val="clear" w:pos="720"/>
          <w:tab w:val="left" w:pos="1440" w:leader="none"/>
        </w:tabs>
        <w:snapToGrid w:val="false"/>
        <w:spacing w:lineRule="auto" w:line="360" w:before="120" w:after="120"/>
        <w:ind w:left="1440"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Cs/>
          <w:color w:val="000000"/>
          <w:sz w:val="20"/>
          <w:szCs w:val="20"/>
        </w:rPr>
      </w:pPr>
      <w:r>
        <w:rPr>
          <w:rFonts w:cs="Arial" w:ascii="Arial" w:hAnsi="Arial"/>
          <w:bCs/>
          <w:color w:val="000000"/>
          <w:sz w:val="20"/>
          <w:szCs w:val="20"/>
        </w:rPr>
        <w:t>4.4.2 que está ciente e concorda com as condições contidas no Edital e seus anexos;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Cs/>
          <w:color w:val="000000"/>
          <w:sz w:val="20"/>
          <w:szCs w:val="20"/>
        </w:rPr>
      </w:pPr>
      <w:r>
        <w:rPr>
          <w:rFonts w:cs="Arial" w:ascii="Arial" w:hAnsi="Arial"/>
          <w:color w:val="000000" w:themeColor="text1"/>
          <w:sz w:val="20"/>
          <w:szCs w:val="20"/>
        </w:rPr>
        <w:t xml:space="preserve">4.4.3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bCs/>
          <w:color w:val="000000"/>
          <w:sz w:val="20"/>
          <w:szCs w:val="20"/>
        </w:rPr>
      </w:pPr>
      <w:r>
        <w:rPr>
          <w:rFonts w:cs="Arial" w:ascii="Arial" w:hAnsi="Arial"/>
          <w:bCs/>
          <w:color w:val="000000"/>
          <w:sz w:val="20"/>
          <w:szCs w:val="20"/>
        </w:rPr>
        <w:t>4.4.7 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clear" w:pos="720"/>
          <w:tab w:val="left" w:pos="1440" w:leader="none"/>
        </w:tabs>
        <w:snapToGrid w:val="false"/>
        <w:spacing w:lineRule="auto" w:line="360" w:before="120" w:after="120"/>
        <w:ind w:left="0" w:hanging="0"/>
        <w:jc w:val="both"/>
        <w:rPr/>
      </w:pPr>
      <w:r>
        <w:rPr>
          <w:rFonts w:cs="Arial" w:ascii="Arial" w:hAnsi="Arial"/>
          <w:bCs/>
          <w:color w:val="000000"/>
          <w:sz w:val="20"/>
          <w:szCs w:val="20"/>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0"/>
          <w:numId w:val="0"/>
        </w:numPr>
        <w:tabs>
          <w:tab w:val="clear" w:pos="720"/>
          <w:tab w:val="left" w:pos="1440" w:leader="none"/>
        </w:tabs>
        <w:snapToGrid w:val="false"/>
        <w:spacing w:lineRule="auto" w:line="360" w:before="120" w:after="120"/>
        <w:ind w:left="0" w:hanging="0"/>
        <w:jc w:val="both"/>
        <w:rPr>
          <w:b w:val="false"/>
          <w:b w:val="false"/>
          <w:bCs w:val="false"/>
          <w:color w:val="000000"/>
          <w:u w:val="none"/>
        </w:rPr>
      </w:pPr>
      <w:r>
        <w:rPr>
          <w:rFonts w:cs="Arial" w:ascii="Arial" w:hAnsi="Arial"/>
          <w:b w:val="false"/>
          <w:bCs w:val="false"/>
          <w:color w:val="000000"/>
          <w:sz w:val="20"/>
          <w:szCs w:val="20"/>
          <w:u w:val="none"/>
          <w:lang w:eastAsia="pt-BR"/>
        </w:rPr>
        <w:t xml:space="preserve">4.4.9 </w:t>
      </w:r>
      <w:r>
        <w:rPr>
          <w:rFonts w:cs="Arial" w:ascii="Arial" w:hAnsi="Arial"/>
          <w:b/>
          <w:bCs/>
          <w:color w:val="000000"/>
          <w:sz w:val="20"/>
          <w:szCs w:val="20"/>
          <w:u w:val="none"/>
          <w:lang w:eastAsia="pt-BR"/>
        </w:rPr>
        <w:t>SUPRIMIDO</w:t>
      </w:r>
      <w:r>
        <w:rPr>
          <w:rFonts w:cs="Arial" w:ascii="Arial" w:hAnsi="Arial"/>
          <w:b w:val="false"/>
          <w:bCs w:val="false"/>
          <w:color w:val="000000"/>
          <w:sz w:val="20"/>
          <w:szCs w:val="20"/>
          <w:u w:val="none"/>
          <w:lang w:eastAsia="pt-BR"/>
        </w:rPr>
        <w:t xml:space="preserve"> </w:t>
      </w:r>
    </w:p>
    <w:p>
      <w:pPr>
        <w:pStyle w:val="Normal"/>
        <w:numPr>
          <w:ilvl w:val="0"/>
          <w:numId w:val="0"/>
        </w:numPr>
        <w:snapToGrid w:val="false"/>
        <w:spacing w:lineRule="auto" w:line="360" w:before="120" w:after="120"/>
        <w:ind w:left="0" w:hanging="0"/>
        <w:jc w:val="both"/>
        <w:rPr/>
      </w:pPr>
      <w:r>
        <w:rPr>
          <w:rFonts w:cs="Arial" w:ascii="Arial" w:hAnsi="Arial"/>
          <w:color w:val="000000"/>
          <w:sz w:val="20"/>
          <w:szCs w:val="20"/>
        </w:rPr>
        <w:t>4.5 A declaração falsa relativa ao cumprimento de qualquer condição sujeitará o licitante às sanções previstas em lei e neste Edital.</w:t>
      </w:r>
    </w:p>
    <w:p>
      <w:pPr>
        <w:pStyle w:val="Nivel01"/>
        <w:numPr>
          <w:ilvl w:val="0"/>
          <w:numId w:val="0"/>
        </w:numPr>
        <w:spacing w:lineRule="auto" w:line="360"/>
        <w:ind w:left="0" w:hanging="0"/>
        <w:rPr>
          <w:rFonts w:ascii="Arial" w:hAnsi="Arial" w:cs="Arial"/>
        </w:rPr>
      </w:pPr>
      <w:r>
        <w:rPr>
          <w:rFonts w:cs="Arial" w:ascii="Arial" w:hAnsi="Arial"/>
        </w:rPr>
        <w:t>5. DA APRESENTAÇÃO DA PROPOSTA E DOS DOCUMENTOS DE HABILITAÇÃO</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numPr>
          <w:ilvl w:val="0"/>
          <w:numId w:val="0"/>
        </w:numPr>
        <w:suppressAutoHyphens w:val="false"/>
        <w:bidi w:val="0"/>
        <w:spacing w:lineRule="auto" w:line="360" w:before="120" w:after="120"/>
        <w:ind w:left="0" w:right="0" w:hanging="0"/>
        <w:jc w:val="both"/>
        <w:rPr>
          <w:rFonts w:ascii="Arial" w:hAnsi="Arial" w:cs="Arial"/>
          <w:color w:val="000000" w:themeColor="text1"/>
          <w:sz w:val="20"/>
          <w:szCs w:val="20"/>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widowControl/>
        <w:numPr>
          <w:ilvl w:val="0"/>
          <w:numId w:val="0"/>
        </w:numPr>
        <w:suppressAutoHyphens w:val="false"/>
        <w:bidi w:val="0"/>
        <w:spacing w:lineRule="auto" w:line="360" w:before="120" w:after="120"/>
        <w:ind w:left="0" w:right="0" w:hanging="0"/>
        <w:jc w:val="both"/>
        <w:rPr>
          <w:rFonts w:ascii="Arial" w:hAnsi="Arial" w:cs="Arial"/>
          <w:color w:val="000000" w:themeColor="text1"/>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widowControl/>
        <w:numPr>
          <w:ilvl w:val="0"/>
          <w:numId w:val="0"/>
        </w:numPr>
        <w:suppressAutoHyphens w:val="false"/>
        <w:bidi w:val="0"/>
        <w:spacing w:lineRule="auto" w:line="360" w:before="120" w:after="120"/>
        <w:ind w:left="0"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ivel01"/>
        <w:numPr>
          <w:ilvl w:val="0"/>
          <w:numId w:val="0"/>
        </w:numPr>
        <w:spacing w:lineRule="auto" w:line="360"/>
        <w:ind w:left="0" w:hanging="0"/>
        <w:rPr>
          <w:rFonts w:ascii="Arial" w:hAnsi="Arial" w:cs="Arial"/>
        </w:rPr>
      </w:pPr>
      <w:r>
        <w:rPr>
          <w:rFonts w:cs="Arial" w:ascii="Arial" w:hAnsi="Arial"/>
        </w:rPr>
        <w:t>6. DO PREENCHIMENTO DA PROPOSTA</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i/>
          <w:i/>
          <w:color w:val="FF0000"/>
          <w:sz w:val="20"/>
          <w:szCs w:val="20"/>
        </w:rPr>
      </w:pPr>
      <w:r>
        <w:rPr>
          <w:rFonts w:cs="Arial" w:ascii="Arial" w:hAnsi="Arial"/>
          <w:i/>
          <w:color w:val="000000"/>
          <w:sz w:val="20"/>
          <w:szCs w:val="20"/>
        </w:rPr>
        <w:tab/>
        <w:t xml:space="preserve">6.1.1 Valor unitário e total </w:t>
      </w:r>
      <w:r>
        <w:rPr>
          <w:rFonts w:cs="Arial" w:ascii="Arial" w:hAnsi="Arial"/>
          <w:bCs/>
          <w:i/>
          <w:iCs/>
          <w:color w:val="000000"/>
          <w:sz w:val="20"/>
          <w:szCs w:val="20"/>
        </w:rPr>
        <w:t>do item.</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color w:val="000000"/>
          <w:sz w:val="20"/>
          <w:szCs w:val="20"/>
        </w:rPr>
      </w:pPr>
      <w:r>
        <w:rPr>
          <w:rFonts w:cs="Arial" w:ascii="Arial" w:hAnsi="Arial"/>
          <w:bCs/>
          <w:iCs/>
          <w:color w:val="000000"/>
          <w:sz w:val="20"/>
          <w:szCs w:val="20"/>
        </w:rPr>
        <w:tab/>
        <w:t>6.1.2 Marca;</w:t>
      </w:r>
    </w:p>
    <w:p>
      <w:pPr>
        <w:pStyle w:val="Normal"/>
        <w:numPr>
          <w:ilvl w:val="0"/>
          <w:numId w:val="0"/>
        </w:numPr>
        <w:tabs>
          <w:tab w:val="clear" w:pos="720"/>
          <w:tab w:val="left" w:pos="1440" w:leader="none"/>
        </w:tabs>
        <w:snapToGrid w:val="false"/>
        <w:spacing w:lineRule="auto" w:line="360" w:before="120" w:after="120"/>
        <w:ind w:left="0" w:hanging="0"/>
        <w:jc w:val="both"/>
        <w:rPr>
          <w:rFonts w:ascii="Arial" w:hAnsi="Arial" w:cs="Arial"/>
          <w:color w:val="000000"/>
          <w:sz w:val="20"/>
          <w:szCs w:val="20"/>
        </w:rPr>
      </w:pPr>
      <w:r>
        <w:rPr>
          <w:rFonts w:cs="Arial" w:ascii="Arial" w:hAnsi="Arial"/>
          <w:bCs/>
          <w:iCs/>
          <w:color w:val="000000"/>
          <w:sz w:val="20"/>
          <w:szCs w:val="20"/>
        </w:rPr>
        <w:tab/>
        <w:t xml:space="preserve">6.1.3 Fabricante; </w:t>
      </w:r>
    </w:p>
    <w:p>
      <w:pPr>
        <w:pStyle w:val="Normal"/>
        <w:numPr>
          <w:ilvl w:val="0"/>
          <w:numId w:val="0"/>
        </w:numPr>
        <w:tabs>
          <w:tab w:val="clear" w:pos="720"/>
          <w:tab w:val="left" w:pos="1440" w:leader="none"/>
        </w:tabs>
        <w:snapToGrid w:val="false"/>
        <w:spacing w:lineRule="auto" w:line="360" w:before="120" w:after="120"/>
        <w:ind w:left="1440" w:hanging="0"/>
        <w:jc w:val="both"/>
        <w:rPr>
          <w:rFonts w:ascii="Arial" w:hAnsi="Arial" w:cs="Arial"/>
          <w:color w:val="000000"/>
          <w:sz w:val="20"/>
          <w:szCs w:val="20"/>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color w:val="000000"/>
          <w:sz w:val="20"/>
          <w:szCs w:val="20"/>
        </w:rPr>
        <w:t xml:space="preserve">o modelo, prazo de validade ou de garantia, número do registro ou inscrição do bem no órgão competente, quando for o caso; </w:t>
      </w:r>
    </w:p>
    <w:p>
      <w:pPr>
        <w:pStyle w:val="ListParagraph"/>
        <w:numPr>
          <w:ilvl w:val="0"/>
          <w:numId w:val="0"/>
        </w:numPr>
        <w:spacing w:lineRule="auto" w:line="360" w:before="120" w:after="120"/>
        <w:ind w:left="0" w:hanging="0"/>
        <w:contextualSpacing/>
        <w:jc w:val="both"/>
        <w:rPr/>
      </w:pPr>
      <w:r>
        <w:rPr>
          <w:rFonts w:cs="Arial" w:ascii="Arial" w:hAnsi="Arial"/>
          <w:sz w:val="20"/>
          <w:szCs w:val="20"/>
        </w:rPr>
        <w:t>6.2 Todas as especificações do objeto contidas na proposta vinculam a Contratada.</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6.5 O prazo de validade da proposta não será inferior a 180</w:t>
      </w:r>
      <w:r>
        <w:rPr>
          <w:rFonts w:cs="Arial" w:ascii="Arial" w:hAnsi="Arial"/>
          <w:color w:val="FF0000"/>
          <w:sz w:val="20"/>
          <w:szCs w:val="20"/>
        </w:rPr>
        <w:t xml:space="preserve"> </w:t>
      </w:r>
      <w:r>
        <w:rPr>
          <w:rFonts w:cs="Arial" w:ascii="Arial" w:hAnsi="Arial"/>
          <w:bCs/>
          <w:iCs/>
          <w:color w:val="000000"/>
          <w:sz w:val="20"/>
          <w:szCs w:val="20"/>
        </w:rPr>
        <w:t>(cento e oitenta)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360" w:before="120" w:after="120"/>
        <w:ind w:left="0" w:hanging="0"/>
        <w:contextualSpacing/>
        <w:jc w:val="both"/>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spacing w:lineRule="auto" w:line="360"/>
        <w:ind w:left="0" w:hanging="0"/>
        <w:rPr>
          <w:rFonts w:ascii="Arial" w:hAnsi="Arial" w:cs="Arial"/>
        </w:rPr>
      </w:pPr>
      <w:r>
        <w:rPr>
          <w:rFonts w:cs="Arial" w:ascii="Arial" w:hAnsi="Arial"/>
          <w:color w:val="00000A"/>
        </w:rPr>
        <w:t xml:space="preserve">7. DA ABERTURA DA SESSÃO, CLASSIFICAÇÃO DAS PROPOSTAS E FORMULAÇÃO DE LANCES </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0"/>
          <w:numId w:val="0"/>
        </w:numPr>
        <w:spacing w:lineRule="auto" w:line="360" w:before="120" w:after="120"/>
        <w:ind w:left="0" w:hanging="0"/>
        <w:contextualSpacing/>
        <w:jc w:val="both"/>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0"/>
          <w:numId w:val="0"/>
        </w:numPr>
        <w:tabs>
          <w:tab w:val="clear" w:pos="720"/>
          <w:tab w:val="left" w:pos="1440" w:leader="none"/>
        </w:tabs>
        <w:snapToGrid w:val="false"/>
        <w:spacing w:lineRule="auto" w:line="360" w:before="120" w:after="120"/>
        <w:ind w:left="720" w:hanging="0"/>
        <w:jc w:val="both"/>
        <w:rPr>
          <w:color w:val="000000"/>
        </w:rPr>
      </w:pPr>
      <w:r>
        <w:rPr>
          <w:rFonts w:cs="Arial" w:ascii="Arial" w:hAnsi="Arial"/>
          <w:color w:val="000000"/>
          <w:sz w:val="20"/>
          <w:szCs w:val="20"/>
        </w:rPr>
        <w:t xml:space="preserve">7.5.1 O lance deverá ser ofertado pelo valor </w:t>
      </w:r>
      <w:r>
        <w:rPr>
          <w:rFonts w:cs="Arial" w:ascii="Arial" w:hAnsi="Arial"/>
          <w:i/>
          <w:color w:val="000000"/>
          <w:sz w:val="20"/>
          <w:szCs w:val="20"/>
        </w:rPr>
        <w:t>unitário do item.</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7.6 Os licitantes poderão oferecer lances sucessivos, observando o horário fixado para abertura da sessão e as regras estabelecidas no Edital.</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sz w:val="20"/>
          <w:szCs w:val="20"/>
        </w:rPr>
        <w:t>7.7 O licitante somente poderá oferecer lance de valor inferior ou percentual de desconto superior ao último por ele ofertado e registrado pelo sistema.</w:t>
      </w:r>
    </w:p>
    <w:p>
      <w:pPr>
        <w:pStyle w:val="ListParagraph"/>
        <w:numPr>
          <w:ilvl w:val="0"/>
          <w:numId w:val="0"/>
        </w:numPr>
        <w:spacing w:lineRule="auto" w:line="360" w:before="120" w:after="120"/>
        <w:ind w:left="0" w:hanging="0"/>
        <w:contextualSpacing/>
        <w:jc w:val="both"/>
        <w:rPr>
          <w:rFonts w:ascii="Arial" w:hAnsi="Arial" w:eastAsia="ＭＳ 明朝" w:cs="Arial"/>
          <w:b w:val="false"/>
          <w:b w:val="false"/>
          <w:bCs w:val="false"/>
          <w:color w:val="000000"/>
          <w:sz w:val="20"/>
          <w:szCs w:val="20"/>
          <w:lang w:val="pt-BR" w:eastAsia="pt-BR" w:bidi="ar-SA"/>
        </w:rPr>
      </w:pPr>
      <w:r>
        <w:rPr>
          <w:rFonts w:eastAsia="ＭＳ 明朝" w:cs="Arial" w:ascii="Arial" w:hAnsi="Arial"/>
          <w:b w:val="false"/>
          <w:bCs w:val="false"/>
          <w:color w:val="000000"/>
          <w:sz w:val="20"/>
          <w:szCs w:val="20"/>
          <w:lang w:val="pt-BR" w:eastAsia="pt-BR" w:bidi="ar-SA"/>
        </w:rPr>
        <w:t xml:space="preserve">7.8  </w:t>
      </w:r>
      <w:r>
        <w:rPr>
          <w:rFonts w:eastAsia="ＭＳ 明朝" w:cs="Arial" w:ascii="Arial" w:hAnsi="Arial"/>
          <w:b w:val="false"/>
          <w:bCs w:val="false"/>
          <w:i w:val="false"/>
          <w:color w:val="000000"/>
          <w:sz w:val="20"/>
          <w:szCs w:val="20"/>
          <w:lang w:val="pt-BR" w:eastAsia="pt-BR" w:bidi="ar-SA"/>
        </w:rPr>
        <w:t>O intervalo mínimo de diferença de valores entre os lances, que incidirá tanto em relação aos lances intermediários quanto em relação à proposta que cobrir a melhor oferta deverá ser de R$ 0,05 (zero vírgula zero cinco centavos).</w:t>
      </w:r>
    </w:p>
    <w:p>
      <w:pPr>
        <w:pStyle w:val="ListParagraph"/>
        <w:widowControl/>
        <w:numPr>
          <w:ilvl w:val="0"/>
          <w:numId w:val="0"/>
        </w:numPr>
        <w:suppressAutoHyphens w:val="false"/>
        <w:bidi w:val="0"/>
        <w:spacing w:lineRule="auto" w:line="360" w:before="120" w:after="120"/>
        <w:ind w:left="720" w:right="0" w:hanging="0"/>
        <w:contextualSpacing/>
        <w:jc w:val="both"/>
        <w:rPr>
          <w:b/>
          <w:b/>
          <w:bCs/>
          <w:color w:val="000000"/>
          <w:u w:val="single"/>
        </w:rPr>
      </w:pPr>
      <w:r>
        <w:rPr>
          <w:rFonts w:eastAsia="ＭＳ 明朝" w:cs="Arial" w:ascii="Arial" w:hAnsi="Arial"/>
          <w:b/>
          <w:bCs/>
          <w:i w:val="false"/>
          <w:color w:val="000000"/>
          <w:sz w:val="20"/>
          <w:szCs w:val="20"/>
          <w:u w:val="single"/>
          <w:lang w:val="pt-BR" w:eastAsia="pt-BR" w:bidi="ar-SA"/>
        </w:rPr>
        <w:t xml:space="preserve">7.8.1. 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ListParagraph"/>
        <w:widowControl/>
        <w:numPr>
          <w:ilvl w:val="0"/>
          <w:numId w:val="0"/>
        </w:numPr>
        <w:suppressAutoHyphens w:val="false"/>
        <w:bidi w:val="0"/>
        <w:spacing w:lineRule="auto" w:line="360" w:before="120" w:after="120"/>
        <w:ind w:left="1736" w:right="0" w:hanging="0"/>
        <w:contextualSpacing/>
        <w:jc w:val="both"/>
        <w:rPr>
          <w:rFonts w:ascii="Arial" w:hAnsi="Arial" w:eastAsia="ＭＳ 明朝" w:cs="Arial"/>
          <w:i w:val="false"/>
          <w:i w:val="false"/>
          <w:sz w:val="20"/>
          <w:szCs w:val="20"/>
          <w:lang w:val="pt-BR" w:eastAsia="pt-BR" w:bidi="ar-SA"/>
        </w:rPr>
      </w:pPr>
      <w:r>
        <w:rPr>
          <w:rFonts w:eastAsia="ＭＳ 明朝" w:cs="Arial" w:ascii="Arial" w:hAnsi="Arial"/>
          <w:i w:val="false"/>
          <w:sz w:val="20"/>
          <w:szCs w:val="20"/>
          <w:lang w:val="pt-BR" w:eastAsia="pt-BR" w:bidi="ar-SA"/>
        </w:rPr>
      </w:r>
    </w:p>
    <w:p>
      <w:pPr>
        <w:pStyle w:val="ListParagraph"/>
        <w:widowControl/>
        <w:numPr>
          <w:ilvl w:val="0"/>
          <w:numId w:val="0"/>
        </w:numPr>
        <w:suppressAutoHyphens w:val="false"/>
        <w:bidi w:val="0"/>
        <w:spacing w:lineRule="auto" w:line="360" w:before="120" w:after="120"/>
        <w:ind w:left="0" w:right="0" w:hanging="0"/>
        <w:contextualSpacing/>
        <w:jc w:val="both"/>
        <w:rPr>
          <w:i w:val="false"/>
          <w:i w:val="false"/>
          <w:iCs w:val="false"/>
        </w:rPr>
      </w:pPr>
      <w:r>
        <w:rPr>
          <w:rFonts w:cs="Arial" w:ascii="Arial" w:hAnsi="Arial"/>
          <w:i w:val="false"/>
          <w:iCs w:val="false"/>
          <w:color w:val="000000"/>
          <w:sz w:val="20"/>
          <w:szCs w:val="20"/>
        </w:rPr>
        <w:t xml:space="preserve">7.9 Será adotado para o envio de lances no pregão eletrônico o modo de disputa </w:t>
      </w:r>
      <w:r>
        <w:rPr>
          <w:rFonts w:cs="Arial" w:ascii="Arial" w:hAnsi="Arial"/>
          <w:b/>
          <w:bCs/>
          <w:i w:val="false"/>
          <w:iCs w:val="false"/>
          <w:color w:val="000000"/>
          <w:sz w:val="20"/>
          <w:szCs w:val="20"/>
        </w:rPr>
        <w:t>“aberto e fechado”</w:t>
      </w:r>
      <w:r>
        <w:rPr>
          <w:rFonts w:cs="Arial" w:ascii="Arial" w:hAnsi="Arial"/>
          <w:i w:val="false"/>
          <w:iCs w:val="false"/>
          <w:color w:val="000000"/>
          <w:sz w:val="20"/>
          <w:szCs w:val="20"/>
        </w:rPr>
        <w:t>, em que os licitantes apresentarão lances públicos e sucessivos, com lance final e fechado.</w:t>
      </w:r>
    </w:p>
    <w:p>
      <w:pPr>
        <w:pStyle w:val="Normal"/>
        <w:widowControl/>
        <w:numPr>
          <w:ilvl w:val="0"/>
          <w:numId w:val="0"/>
        </w:numPr>
        <w:suppressAutoHyphens w:val="false"/>
        <w:bidi w:val="0"/>
        <w:spacing w:lineRule="auto" w:line="360" w:before="120" w:after="120"/>
        <w:ind w:left="0" w:right="0" w:hanging="0"/>
        <w:jc w:val="both"/>
        <w:rPr>
          <w:i w:val="false"/>
          <w:i w:val="false"/>
          <w:iCs w:val="false"/>
        </w:rPr>
      </w:pPr>
      <w:r>
        <w:rPr>
          <w:rFonts w:cs="Arial" w:ascii="Arial" w:hAnsi="Arial"/>
          <w:i w:val="false"/>
          <w:iCs w:val="false"/>
          <w:color w:val="000000"/>
          <w:sz w:val="20"/>
          <w:szCs w:val="20"/>
        </w:rPr>
        <w:t>7.10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suppressAutoHyphens w:val="false"/>
        <w:bidi w:val="0"/>
        <w:spacing w:lineRule="auto" w:line="360" w:before="120" w:after="120"/>
        <w:ind w:left="0" w:right="0" w:hanging="0"/>
        <w:jc w:val="both"/>
        <w:rPr>
          <w:i w:val="false"/>
          <w:i w:val="false"/>
          <w:iCs w:val="false"/>
        </w:rPr>
      </w:pPr>
      <w:r>
        <w:rPr>
          <w:rFonts w:cs="Arial" w:ascii="Arial" w:hAnsi="Arial"/>
          <w:i w:val="false"/>
          <w:iCs w:val="false"/>
          <w:color w:val="000000"/>
          <w:sz w:val="20"/>
          <w:szCs w:val="20"/>
        </w:rPr>
        <w:t>7.11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0"/>
          <w:numId w:val="0"/>
        </w:numPr>
        <w:spacing w:lineRule="auto" w:line="360" w:before="120" w:after="120"/>
        <w:ind w:left="1712" w:hanging="0"/>
        <w:jc w:val="both"/>
        <w:rPr>
          <w:i w:val="false"/>
          <w:i w:val="false"/>
          <w:iCs w:val="false"/>
        </w:rPr>
      </w:pPr>
      <w:r>
        <w:rPr>
          <w:rFonts w:cs="Arial" w:ascii="Arial" w:hAnsi="Arial"/>
          <w:i w:val="false"/>
          <w:iCs w:val="false"/>
          <w:color w:val="000000"/>
          <w:sz w:val="20"/>
          <w:szCs w:val="20"/>
        </w:rPr>
        <w:t>7.11.1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numPr>
          <w:ilvl w:val="0"/>
          <w:numId w:val="0"/>
        </w:numPr>
        <w:suppressAutoHyphens w:val="false"/>
        <w:bidi w:val="0"/>
        <w:spacing w:lineRule="auto" w:line="360" w:before="120" w:after="120"/>
        <w:ind w:left="0" w:right="0" w:hanging="0"/>
        <w:jc w:val="both"/>
        <w:rPr>
          <w:i w:val="false"/>
          <w:i w:val="false"/>
          <w:iCs w:val="false"/>
        </w:rPr>
      </w:pPr>
      <w:r>
        <w:rPr>
          <w:rFonts w:cs="Arial" w:ascii="Arial" w:hAnsi="Arial"/>
          <w:i w:val="false"/>
          <w:iCs w:val="false"/>
          <w:color w:val="000000"/>
          <w:sz w:val="20"/>
          <w:szCs w:val="20"/>
        </w:rPr>
        <w:t>7.12 Após o término dos prazos estabelecidos nos itens anteriores, o sistema ordenará os lances segundo a ordem crescente de valores.</w:t>
      </w:r>
    </w:p>
    <w:p>
      <w:pPr>
        <w:pStyle w:val="Normal"/>
        <w:numPr>
          <w:ilvl w:val="0"/>
          <w:numId w:val="0"/>
        </w:numPr>
        <w:spacing w:lineRule="auto" w:line="360" w:before="120" w:after="120"/>
        <w:ind w:left="1712" w:hanging="0"/>
        <w:jc w:val="both"/>
        <w:rPr>
          <w:i w:val="false"/>
          <w:i w:val="false"/>
          <w:iCs w:val="false"/>
        </w:rPr>
      </w:pPr>
      <w:r>
        <w:rPr>
          <w:rFonts w:eastAsia="Times New Roman" w:cs="Arial" w:ascii="Arial" w:hAnsi="Arial"/>
          <w:i w:val="false"/>
          <w:iCs w:val="false"/>
          <w:color w:val="000000"/>
          <w:sz w:val="20"/>
          <w:szCs w:val="20"/>
        </w:rPr>
        <w:t xml:space="preserve">7.12.1 Não havendo lance final e fechado classificado na forma estabelecida nos itens </w:t>
      </w:r>
      <w:r>
        <w:rPr>
          <w:rFonts w:cs="Arial" w:ascii="Arial" w:hAnsi="Arial"/>
          <w:i w:val="false"/>
          <w:iCs w:val="false"/>
          <w:color w:val="000000"/>
          <w:sz w:val="20"/>
          <w:szCs w:val="20"/>
        </w:rPr>
        <w:t>anteriores</w:t>
      </w:r>
      <w:r>
        <w:rPr>
          <w:rFonts w:eastAsia="Times New Roman" w:cs="Arial" w:ascii="Arial" w:hAnsi="Arial"/>
          <w:i w:val="false"/>
          <w:iCs w:val="false"/>
          <w:color w:val="000000"/>
          <w:sz w:val="20"/>
          <w:szCs w:val="20"/>
        </w:rPr>
        <w:t xml:space="preserve">, </w:t>
      </w:r>
      <w:r>
        <w:rPr>
          <w:rFonts w:cs="Arial" w:ascii="Arial" w:hAnsi="Arial"/>
          <w:i w:val="false"/>
          <w:iCs w:val="false"/>
          <w:color w:val="000000"/>
          <w:sz w:val="20"/>
          <w:szCs w:val="20"/>
        </w:rPr>
        <w:t>haverá o</w:t>
      </w:r>
      <w:r>
        <w:rPr>
          <w:rFonts w:eastAsia="Times New Roman" w:cs="Arial" w:ascii="Arial" w:hAnsi="Arial"/>
          <w:i w:val="false"/>
          <w:iCs w:val="false"/>
          <w:color w:val="00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numPr>
          <w:ilvl w:val="0"/>
          <w:numId w:val="0"/>
        </w:numPr>
        <w:suppressAutoHyphens w:val="false"/>
        <w:bidi w:val="0"/>
        <w:spacing w:lineRule="auto" w:line="360" w:before="120" w:after="120"/>
        <w:ind w:left="0" w:right="0" w:hanging="0"/>
        <w:jc w:val="both"/>
        <w:rPr>
          <w:i w:val="false"/>
          <w:i w:val="false"/>
          <w:iCs w:val="false"/>
        </w:rPr>
      </w:pPr>
      <w:r>
        <w:rPr>
          <w:rFonts w:eastAsia="Times New Roman" w:cs="Arial" w:ascii="Arial" w:hAnsi="Arial"/>
          <w:i w:val="false"/>
          <w:iCs w:val="false"/>
          <w:color w:val="000000"/>
          <w:sz w:val="20"/>
          <w:szCs w:val="20"/>
        </w:rPr>
        <w:t>7.13 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suppressAutoHyphens w:val="false"/>
        <w:bidi w:val="0"/>
        <w:spacing w:lineRule="auto" w:line="360" w:before="120" w:after="120"/>
        <w:ind w:left="0" w:right="0" w:hanging="0"/>
        <w:contextualSpacing/>
        <w:jc w:val="both"/>
        <w:rPr>
          <w:i w:val="false"/>
          <w:i w:val="false"/>
          <w:iCs w:val="false"/>
        </w:rPr>
      </w:pPr>
      <w:r>
        <w:rPr>
          <w:rFonts w:cs="Arial" w:ascii="Arial" w:hAnsi="Arial"/>
          <w:i w:val="false"/>
          <w:iCs w:val="false"/>
          <w:color w:val="000000"/>
          <w:sz w:val="20"/>
          <w:szCs w:val="20"/>
        </w:rPr>
        <w:t xml:space="preserve">7.14 Não serão aceitos dois ou mais lances de mesmo valor, prevalecendo aquele que for recebido e registrado em primeiro lugar. </w:t>
      </w:r>
    </w:p>
    <w:p>
      <w:pPr>
        <w:pStyle w:val="ListParagraph"/>
        <w:widowControl/>
        <w:numPr>
          <w:ilvl w:val="0"/>
          <w:numId w:val="0"/>
        </w:numPr>
        <w:suppressAutoHyphens w:val="false"/>
        <w:bidi w:val="0"/>
        <w:spacing w:lineRule="auto" w:line="360" w:before="120" w:after="120"/>
        <w:ind w:left="0" w:right="0" w:hanging="0"/>
        <w:contextualSpacing/>
        <w:jc w:val="both"/>
        <w:rPr>
          <w:rFonts w:ascii="Arial" w:hAnsi="Arial" w:eastAsia="ＭＳ 明朝" w:cs="Arial"/>
          <w:i w:val="false"/>
          <w:i w:val="false"/>
          <w:iCs w:val="false"/>
          <w:color w:val="000000"/>
          <w:sz w:val="20"/>
          <w:szCs w:val="20"/>
          <w:lang w:val="pt-BR" w:eastAsia="pt-BR" w:bidi="ar-SA"/>
        </w:rPr>
      </w:pPr>
      <w:r>
        <w:rPr>
          <w:rFonts w:eastAsia="ＭＳ 明朝" w:cs="Arial" w:ascii="Arial" w:hAnsi="Arial"/>
          <w:i w:val="false"/>
          <w:iCs w:val="false"/>
          <w:color w:val="000000"/>
          <w:sz w:val="20"/>
          <w:szCs w:val="20"/>
          <w:lang w:val="pt-BR" w:eastAsia="pt-BR" w:bidi="ar-SA"/>
        </w:rPr>
        <w:t xml:space="preserve">7.15  </w:t>
      </w:r>
      <w:r>
        <w:rPr>
          <w:rFonts w:eastAsia="ＭＳ 明朝" w:cs="Arial" w:ascii="Arial" w:hAnsi="Arial"/>
          <w:b w:val="false"/>
          <w:i w:val="false"/>
          <w:iCs w:val="false"/>
          <w:color w:val="000000"/>
          <w:sz w:val="20"/>
          <w:szCs w:val="20"/>
          <w:lang w:val="pt-BR" w:eastAsia="pt-BR" w:bidi="ar-SA"/>
        </w:rPr>
        <w:t>Em caso de falha no sistema, os lances em desacordo com os subitens anteriores deverão ser desconsiderados pelo pregoeiro, devendo a ocorrência ser comunicada imediatamente à Secretaria de Gestão do Ministério da Economia;</w:t>
      </w:r>
    </w:p>
    <w:p>
      <w:pPr>
        <w:pStyle w:val="ListParagraph"/>
        <w:numPr>
          <w:ilvl w:val="0"/>
          <w:numId w:val="0"/>
        </w:numPr>
        <w:spacing w:lineRule="auto" w:line="360" w:before="120" w:after="120"/>
        <w:ind w:left="0" w:hanging="0"/>
        <w:contextualSpacing/>
        <w:jc w:val="both"/>
        <w:rPr>
          <w:i w:val="false"/>
          <w:i w:val="false"/>
          <w:iCs w:val="false"/>
        </w:rPr>
      </w:pPr>
      <w:r>
        <w:rPr>
          <w:rFonts w:eastAsia="ＭＳ 明朝" w:cs="Arial" w:ascii="Arial" w:hAnsi="Arial"/>
          <w:i w:val="false"/>
          <w:iCs w:val="false"/>
          <w:color w:val="000000"/>
          <w:sz w:val="20"/>
          <w:szCs w:val="20"/>
          <w:lang w:val="pt-BR" w:eastAsia="pt-BR" w:bidi="ar-SA"/>
        </w:rPr>
        <w:t>7.16 Durante o transcurso da sessão pú</w:t>
      </w:r>
      <w:r>
        <w:rPr>
          <w:rFonts w:cs="Arial" w:ascii="Arial" w:hAnsi="Arial"/>
          <w:i w:val="false"/>
          <w:iCs w:val="false"/>
          <w:color w:val="000000"/>
          <w:sz w:val="20"/>
          <w:szCs w:val="20"/>
        </w:rPr>
        <w:t xml:space="preserve">blica, os licitantes serão informados, em tempo real, do valor do menor lance registrado, vedada a identificação do licitante. </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rPr>
        <w:t xml:space="preserve">7.17 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rPr>
        <w:t>7.18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i w:val="false"/>
          <w:iCs w:val="false"/>
          <w:color w:val="000000" w:themeColor="text1"/>
          <w:sz w:val="20"/>
          <w:szCs w:val="20"/>
        </w:rPr>
        <w:t>.</w:t>
      </w:r>
      <w:r>
        <w:rPr>
          <w:rFonts w:cs="Arial" w:ascii="Arial" w:hAnsi="Arial"/>
          <w:i w:val="false"/>
          <w:iCs w:val="false"/>
          <w:color w:val="000000"/>
          <w:sz w:val="20"/>
          <w:szCs w:val="20"/>
        </w:rPr>
        <w:t xml:space="preserve"> </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rPr>
        <w:t xml:space="preserve">7.19 O Critério de julgamento adotado será o menor preço, conforme definido neste Edital e seus anexos. </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lang w:eastAsia="en-US"/>
        </w:rPr>
        <w:t xml:space="preserve">7.20 </w:t>
      </w:r>
      <w:r>
        <w:rPr>
          <w:rFonts w:cs="Arial" w:ascii="Arial" w:hAnsi="Arial"/>
          <w:i w:val="false"/>
          <w:iCs w:val="false"/>
          <w:color w:val="000000" w:themeColor="text1"/>
          <w:sz w:val="20"/>
          <w:szCs w:val="20"/>
          <w:lang w:eastAsia="en-US"/>
        </w:rPr>
        <w:t>Caso o licitante não apresente lances, concorrerá com o valor de sua proposta.</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lang w:eastAsia="en-US"/>
        </w:rPr>
        <w:t>7.21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lang w:eastAsia="en-US"/>
        </w:rPr>
        <w:t xml:space="preserve">7.22 Nessas condições, as propostas de microempresas e empresas de pequeno porte que se encontrarem na faixa de até 5% (cinco por cento) acima da </w:t>
      </w:r>
      <w:r>
        <w:rPr>
          <w:rFonts w:cs="Arial" w:ascii="Arial" w:hAnsi="Arial"/>
          <w:i w:val="false"/>
          <w:iCs w:val="false"/>
          <w:color w:val="000000" w:themeColor="text1"/>
          <w:sz w:val="20"/>
          <w:szCs w:val="20"/>
        </w:rPr>
        <w:t>melhor proposta ou melhor lance</w:t>
      </w:r>
      <w:r>
        <w:rPr>
          <w:rFonts w:cs="Arial" w:ascii="Arial" w:hAnsi="Arial"/>
          <w:i w:val="false"/>
          <w:iCs w:val="false"/>
          <w:color w:val="000000"/>
          <w:sz w:val="20"/>
          <w:szCs w:val="20"/>
          <w:lang w:eastAsia="en-US"/>
        </w:rPr>
        <w:t xml:space="preserve">  serão consideradas empatadas com a primeira colocada.</w:t>
      </w:r>
    </w:p>
    <w:p>
      <w:pPr>
        <w:pStyle w:val="ListParagraph"/>
        <w:numPr>
          <w:ilvl w:val="0"/>
          <w:numId w:val="0"/>
        </w:numPr>
        <w:spacing w:lineRule="auto" w:line="360" w:before="120" w:after="120"/>
        <w:ind w:left="0" w:hanging="0"/>
        <w:contextualSpacing/>
        <w:jc w:val="both"/>
        <w:rPr>
          <w:i w:val="false"/>
          <w:i w:val="false"/>
          <w:iCs w:val="false"/>
        </w:rPr>
      </w:pPr>
      <w:r>
        <w:rPr>
          <w:rFonts w:cs="Arial" w:ascii="Arial" w:hAnsi="Arial"/>
          <w:i w:val="false"/>
          <w:iCs w:val="false"/>
          <w:color w:val="000000"/>
          <w:sz w:val="20"/>
          <w:szCs w:val="20"/>
          <w:lang w:eastAsia="en-US"/>
        </w:rPr>
        <w:t>7.23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cs="Arial" w:ascii="Arial" w:hAnsi="Arial"/>
          <w:i w:val="false"/>
          <w:iCs w:val="false"/>
          <w:color w:val="000000"/>
          <w:sz w:val="20"/>
          <w:szCs w:val="20"/>
          <w:lang w:eastAsia="en-US"/>
        </w:rPr>
        <w:t xml:space="preserve">7.24 Caso a microempresa ou a empresa de pequeno porte </w:t>
      </w:r>
      <w:r>
        <w:rPr>
          <w:rFonts w:cs="Arial" w:ascii="Arial" w:hAnsi="Arial"/>
          <w:color w:val="000000"/>
          <w:sz w:val="20"/>
          <w:szCs w:val="20"/>
          <w:lang w:eastAsia="en-US"/>
        </w:rPr>
        <w:t>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eastAsia="Arial" w:cs="Arial" w:ascii="Arial" w:hAnsi="Arial"/>
          <w:sz w:val="20"/>
          <w:szCs w:val="20"/>
        </w:rPr>
        <w:t xml:space="preserve">7.26 Só poderá haver empate entre propostas iguais (não seguidas de lances), ou entre lances finais da fase fechada do modo de disputa aberto e fechado. </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7.27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numPr>
          <w:ilvl w:val="0"/>
          <w:numId w:val="0"/>
        </w:numPr>
        <w:spacing w:lineRule="auto" w:line="360" w:before="120" w:after="120"/>
        <w:ind w:left="720" w:hanging="0"/>
        <w:contextualSpacing/>
        <w:jc w:val="both"/>
        <w:rPr/>
      </w:pPr>
      <w:r>
        <w:rPr>
          <w:rFonts w:cs="Arial" w:ascii="Arial" w:hAnsi="Arial"/>
          <w:color w:val="000000"/>
          <w:sz w:val="20"/>
          <w:szCs w:val="20"/>
          <w:lang w:eastAsia="en-US"/>
        </w:rPr>
        <w:t>7.27.1 no país;</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7.27.2 por empresas brasileiras; </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7.27.3 por empresas que invistam em pesquisa e no desenvolvimento de tecnologia no País;</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360" w:before="120" w:after="120"/>
        <w:ind w:left="0" w:hanging="0"/>
        <w:contextualSpacing/>
        <w:jc w:val="both"/>
        <w:rPr>
          <w:rFonts w:ascii="Arial" w:hAnsi="Arial" w:cs="Arial"/>
          <w:color w:val="000000"/>
          <w:sz w:val="20"/>
          <w:szCs w:val="20"/>
          <w:lang w:eastAsia="en-US"/>
        </w:rPr>
      </w:pPr>
      <w:r>
        <w:rPr>
          <w:rFonts w:cs="Arial" w:ascii="Arial" w:hAnsi="Arial"/>
          <w:sz w:val="20"/>
          <w:szCs w:val="20"/>
        </w:rPr>
        <w:t xml:space="preserve">7.28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numPr>
          <w:ilvl w:val="0"/>
          <w:numId w:val="0"/>
        </w:numPr>
        <w:tabs>
          <w:tab w:val="clear" w:pos="720"/>
          <w:tab w:val="left" w:pos="0" w:leader="none"/>
        </w:tabs>
        <w:spacing w:lineRule="auto" w:line="360" w:before="120" w:after="120"/>
        <w:ind w:left="0" w:hanging="0"/>
        <w:contextualSpacing/>
        <w:jc w:val="both"/>
        <w:rPr>
          <w:rFonts w:ascii="Arial" w:hAnsi="Arial" w:cs="Arial"/>
          <w:color w:val="000000" w:themeColor="text1"/>
          <w:sz w:val="20"/>
          <w:szCs w:val="20"/>
        </w:rPr>
      </w:pPr>
      <w:r>
        <w:rPr>
          <w:rFonts w:cs="Arial" w:ascii="Arial" w:hAnsi="Arial"/>
          <w:color w:val="000000"/>
          <w:sz w:val="20"/>
          <w:szCs w:val="20"/>
        </w:rPr>
        <w:t>7.29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7.29.1 A negociação será realizada por meio do sistema, podendo ser acompanhada pelos demais licitantes.</w:t>
      </w:r>
    </w:p>
    <w:p>
      <w:pPr>
        <w:pStyle w:val="ListParagraph"/>
        <w:numPr>
          <w:ilvl w:val="0"/>
          <w:numId w:val="0"/>
        </w:numPr>
        <w:tabs>
          <w:tab w:val="clear" w:pos="720"/>
          <w:tab w:val="left" w:pos="0" w:leader="none"/>
        </w:tabs>
        <w:spacing w:lineRule="auto" w:line="360" w:before="120" w:after="120"/>
        <w:ind w:left="720" w:hanging="0"/>
        <w:contextualSpacing/>
        <w:jc w:val="both"/>
        <w:rPr/>
      </w:pPr>
      <w:r>
        <w:rPr>
          <w:rFonts w:cs="Arial" w:ascii="Arial" w:hAnsi="Arial"/>
          <w:color w:val="000000"/>
          <w:sz w:val="20"/>
          <w:szCs w:val="20"/>
        </w:rPr>
        <w:t xml:space="preserve">7.29.2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no prazo de 02</w:t>
      </w:r>
      <w:r>
        <w:rPr>
          <w:rFonts w:cs="Arial" w:ascii="Arial" w:hAnsi="Arial"/>
          <w:color w:val="FF0000"/>
          <w:sz w:val="20"/>
          <w:szCs w:val="20"/>
        </w:rPr>
        <w:t xml:space="preserve"> </w:t>
      </w:r>
      <w:r>
        <w:rPr>
          <w:rFonts w:cs="Arial" w:ascii="Arial" w:hAnsi="Arial"/>
          <w:color w:val="000000"/>
          <w:sz w:val="20"/>
          <w:szCs w:val="20"/>
        </w:rPr>
        <w:t>(duas)</w:t>
      </w:r>
      <w:r>
        <w:rPr>
          <w:rFonts w:cs="Arial" w:ascii="Arial" w:hAnsi="Arial"/>
          <w:i/>
          <w:iCs/>
          <w:color w:val="000000" w:themeColor="text1"/>
          <w:sz w:val="20"/>
          <w:szCs w:val="20"/>
        </w:rPr>
        <w:t xml:space="preserve"> </w:t>
      </w:r>
      <w:r>
        <w:rPr>
          <w:rFonts w:cs="Arial" w:ascii="Arial" w:hAnsi="Arial"/>
          <w:color w:val="000000" w:themeColor="text1"/>
          <w:sz w:val="20"/>
          <w:szCs w:val="20"/>
        </w:rPr>
        <w:t xml:space="preserve">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numPr>
          <w:ilvl w:val="0"/>
          <w:numId w:val="0"/>
        </w:numPr>
        <w:spacing w:lineRule="auto" w:line="360" w:before="291" w:after="291"/>
        <w:ind w:lef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 Após a negociação do preço, o Pregoeiro iniciará a fase de aceitação e julgamento da proposta.</w:t>
      </w:r>
    </w:p>
    <w:p>
      <w:pPr>
        <w:pStyle w:val="ListParagraph"/>
        <w:numPr>
          <w:ilvl w:val="0"/>
          <w:numId w:val="0"/>
        </w:numPr>
        <w:spacing w:lineRule="auto" w:line="360" w:before="120" w:after="120"/>
        <w:ind w:left="0" w:hanging="0"/>
        <w:contextualSpacing/>
        <w:jc w:val="both"/>
        <w:rPr>
          <w:color w:val="000000"/>
        </w:rPr>
      </w:pPr>
      <w:r>
        <w:rPr>
          <w:rFonts w:eastAsia="Zurich BT" w:cs="Arial" w:ascii="Arial" w:hAnsi="Arial"/>
          <w:b/>
          <w:bCs/>
          <w:i/>
          <w:color w:val="000000"/>
          <w:sz w:val="20"/>
          <w:szCs w:val="20"/>
          <w:lang w:eastAsia="en-US"/>
        </w:rPr>
        <w:t>7.31. SUPRIMIDO</w:t>
      </w:r>
      <w:r>
        <w:rPr>
          <w:rFonts w:eastAsia="Zurich BT" w:cs="Arial" w:ascii="Arial" w:hAnsi="Arial"/>
          <w:bCs/>
          <w:i/>
          <w:color w:val="000000"/>
          <w:sz w:val="20"/>
          <w:szCs w:val="20"/>
          <w:lang w:eastAsia="en-US"/>
        </w:rPr>
        <w:t xml:space="preserve"> (Não se trata de aquisição de bens comuns de informática e automação)</w:t>
      </w:r>
    </w:p>
    <w:p>
      <w:pPr>
        <w:pStyle w:val="ListParagraph"/>
        <w:numPr>
          <w:ilvl w:val="0"/>
          <w:numId w:val="0"/>
        </w:numPr>
        <w:spacing w:lineRule="auto" w:line="360" w:before="120" w:after="120"/>
        <w:ind w:left="0" w:hanging="0"/>
        <w:contextualSpacing/>
        <w:jc w:val="both"/>
        <w:rPr>
          <w:color w:val="000000"/>
        </w:rPr>
      </w:pPr>
      <w:r>
        <w:rPr>
          <w:rFonts w:eastAsia="Zurich BT" w:cs="Arial" w:ascii="Arial" w:hAnsi="Arial"/>
          <w:b/>
          <w:bCs/>
          <w:i/>
          <w:color w:val="000000"/>
          <w:sz w:val="20"/>
          <w:szCs w:val="20"/>
          <w:lang w:eastAsia="en-US"/>
        </w:rPr>
        <w:t>7.31.1 SUPRIMIDO</w:t>
      </w:r>
      <w:r>
        <w:rPr>
          <w:rFonts w:eastAsia="Zurich BT" w:cs="Arial" w:ascii="Arial" w:hAnsi="Arial"/>
          <w:bCs/>
          <w:i/>
          <w:color w:val="000000"/>
          <w:sz w:val="20"/>
          <w:szCs w:val="20"/>
          <w:lang w:eastAsia="en-US"/>
        </w:rPr>
        <w:t xml:space="preserve"> (Não se trata de aquisição de bens comuns de informática e automação)</w:t>
      </w:r>
    </w:p>
    <w:p>
      <w:pPr>
        <w:pStyle w:val="Nivel01"/>
        <w:numPr>
          <w:ilvl w:val="0"/>
          <w:numId w:val="0"/>
        </w:numPr>
        <w:spacing w:lineRule="auto" w:line="360"/>
        <w:ind w:left="0" w:hanging="0"/>
        <w:rPr>
          <w:rFonts w:ascii="Arial" w:hAnsi="Arial" w:cs="Arial"/>
        </w:rPr>
      </w:pPr>
      <w:r>
        <w:rPr>
          <w:rFonts w:cs="Arial" w:ascii="Arial" w:hAnsi="Arial"/>
          <w:lang w:eastAsia="en-US"/>
        </w:rPr>
        <w:t>8. DA ACEITABILIDADE DA PROPOSTA VENCEDORA.</w:t>
      </w:r>
    </w:p>
    <w:p>
      <w:pPr>
        <w:pStyle w:val="ListParagraph"/>
        <w:numPr>
          <w:ilvl w:val="0"/>
          <w:numId w:val="0"/>
        </w:numPr>
        <w:spacing w:lineRule="auto" w:line="360" w:before="120" w:after="120"/>
        <w:ind w:left="0" w:hanging="0"/>
        <w:contextualSpacing/>
        <w:jc w:val="both"/>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numPr>
          <w:ilvl w:val="0"/>
          <w:numId w:val="0"/>
        </w:numPr>
        <w:spacing w:lineRule="auto" w:line="360" w:before="120" w:after="120"/>
        <w:ind w:left="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360" w:before="120" w:after="120"/>
        <w:ind w:left="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numPr>
          <w:ilvl w:val="0"/>
          <w:numId w:val="0"/>
        </w:numPr>
        <w:spacing w:lineRule="auto" w:line="360" w:before="120" w:after="120"/>
        <w:ind w:left="720"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numPr>
          <w:ilvl w:val="0"/>
          <w:numId w:val="0"/>
        </w:numPr>
        <w:spacing w:lineRule="auto" w:line="360" w:before="120" w:after="120"/>
        <w:ind w:left="0" w:right="0" w:hanging="0"/>
        <w:contextualSpacing/>
        <w:jc w:val="both"/>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numPr>
          <w:ilvl w:val="0"/>
          <w:numId w:val="0"/>
        </w:numPr>
        <w:spacing w:lineRule="auto" w:line="360" w:before="120" w:after="120"/>
        <w:ind w:left="0"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numPr>
          <w:ilvl w:val="0"/>
          <w:numId w:val="0"/>
        </w:numPr>
        <w:spacing w:lineRule="auto" w:line="360" w:before="120" w:after="120"/>
        <w:ind w:left="0" w:right="0" w:hanging="0"/>
        <w:contextualSpacing/>
        <w:jc w:val="both"/>
        <w:rPr/>
      </w:pPr>
      <w:r>
        <w:rPr>
          <w:rFonts w:cs="Arial" w:ascii="Arial" w:hAnsi="Arial"/>
          <w:color w:val="000000" w:themeColor="text1"/>
          <w:sz w:val="20"/>
          <w:szCs w:val="20"/>
          <w:lang w:eastAsia="en-US"/>
        </w:rPr>
        <w:t xml:space="preserve">8.6 O Pregoeiro poderá convocar o licitante para enviar documento digital complementar, por meio de funcionalidade disponível no sistema, no prazo de 02 </w:t>
      </w:r>
      <w:r>
        <w:rPr>
          <w:rFonts w:cs="Arial" w:ascii="Arial" w:hAnsi="Arial"/>
          <w:color w:val="000000"/>
          <w:sz w:val="20"/>
          <w:szCs w:val="20"/>
          <w:lang w:eastAsia="en-US"/>
        </w:rPr>
        <w:t>(duas) horas,</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Normal"/>
        <w:numPr>
          <w:ilvl w:val="0"/>
          <w:numId w:val="0"/>
        </w:numPr>
        <w:spacing w:lineRule="auto" w:line="360" w:before="120" w:after="120"/>
        <w:ind w:left="720" w:right="0" w:hanging="0"/>
        <w:jc w:val="both"/>
        <w:rPr/>
      </w:pPr>
      <w:r>
        <w:rPr>
          <w:rFonts w:cs="Arial" w:ascii="Arial" w:hAnsi="Arial"/>
          <w:color w:val="000000"/>
          <w:sz w:val="20"/>
          <w:szCs w:val="20"/>
          <w:lang w:eastAsia="en-US"/>
        </w:rPr>
        <w:t>8.6.1 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numPr>
          <w:ilvl w:val="0"/>
          <w:numId w:val="0"/>
        </w:numPr>
        <w:spacing w:lineRule="auto" w:line="360" w:before="120" w:after="120"/>
        <w:ind w:left="720" w:hanging="0"/>
        <w:contextualSpacing/>
        <w:jc w:val="both"/>
        <w:rPr>
          <w:rFonts w:ascii="Arial" w:hAnsi="Arial" w:cs="Arial"/>
          <w:strike/>
          <w:sz w:val="20"/>
          <w:szCs w:val="20"/>
        </w:rPr>
      </w:pPr>
      <w:r>
        <w:rPr>
          <w:rFonts w:cs="Arial" w:ascii="Arial" w:hAnsi="Arial"/>
          <w:sz w:val="20"/>
          <w:szCs w:val="20"/>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0"/>
          <w:numId w:val="0"/>
        </w:numPr>
        <w:spacing w:lineRule="auto" w:line="360" w:before="120" w:after="120"/>
        <w:ind w:left="720" w:hanging="0"/>
        <w:contextualSpacing/>
        <w:jc w:val="both"/>
        <w:rPr>
          <w:color w:val="000000"/>
        </w:rPr>
      </w:pPr>
      <w:r>
        <w:rPr>
          <w:rFonts w:cs="Arial" w:ascii="Arial" w:hAnsi="Arial"/>
          <w:b/>
          <w:bCs/>
          <w:i/>
          <w:iCs/>
          <w:color w:val="000000"/>
          <w:sz w:val="20"/>
          <w:szCs w:val="20"/>
        </w:rPr>
        <w:t>8.6.3 SUPRIMIDO</w:t>
      </w:r>
      <w:r>
        <w:rPr>
          <w:rFonts w:cs="Arial" w:ascii="Arial" w:hAnsi="Arial"/>
          <w:bCs/>
          <w:i/>
          <w:iCs/>
          <w:color w:val="000000"/>
          <w:sz w:val="20"/>
          <w:szCs w:val="20"/>
        </w:rPr>
        <w:t xml:space="preserve">  (Não há necessidade de se exigir a apresentação de amostra)</w:t>
      </w:r>
    </w:p>
    <w:p>
      <w:pPr>
        <w:pStyle w:val="ListParagraph"/>
        <w:numPr>
          <w:ilvl w:val="0"/>
          <w:numId w:val="0"/>
        </w:numPr>
        <w:spacing w:lineRule="auto" w:line="360" w:before="120" w:after="120"/>
        <w:ind w:left="0" w:hanging="0"/>
        <w:contextualSpacing/>
        <w:jc w:val="both"/>
        <w:rPr/>
      </w:pPr>
      <w:r>
        <w:rPr>
          <w:rFonts w:cs="Arial" w:ascii="Arial" w:hAnsi="Arial"/>
          <w:bCs/>
          <w:iCs/>
          <w:color w:val="000000"/>
          <w:sz w:val="20"/>
          <w:szCs w:val="20"/>
        </w:rPr>
        <w:t>8.7 Se a proposta ou lance vencedor for desclassificado, o Pregoeiro examinará a proposta ou lance subsequente, e, assim sucessivamente, na ordem de classificação.</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8.8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sz w:val="20"/>
          <w:szCs w:val="20"/>
        </w:rPr>
      </w:pPr>
      <w:r>
        <w:rPr>
          <w:rFonts w:cs="Arial" w:ascii="Arial" w:hAnsi="Arial"/>
          <w:sz w:val="20"/>
          <w:szCs w:val="20"/>
        </w:rPr>
        <w:t>8.8.1 Também nas hipóteses em que o Pregoeiro não aceitar a proposta e passar à subsequente, poderá negociar com o licitante para que seja obtido preço melhor.</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rPr>
      </w:pPr>
      <w:r>
        <w:rPr>
          <w:rFonts w:cs="Arial" w:ascii="Arial" w:hAnsi="Arial"/>
          <w:color w:val="000000"/>
          <w:sz w:val="20"/>
          <w:szCs w:val="20"/>
        </w:rPr>
        <w:t>8.8.2 A negociação será realizada por meio do sistema, podendo ser acompanhada pelos demais licitantes.</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8.9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0"/>
          <w:numId w:val="0"/>
        </w:numPr>
        <w:spacing w:lineRule="auto" w:line="360" w:before="120" w:after="120"/>
        <w:ind w:left="720" w:right="0" w:hanging="0"/>
        <w:jc w:val="both"/>
        <w:rPr>
          <w:rFonts w:ascii="Arial" w:hAnsi="Arial" w:cs="Arial"/>
          <w:color w:val="000000" w:themeColor="text1"/>
          <w:sz w:val="20"/>
          <w:szCs w:val="20"/>
        </w:rPr>
      </w:pPr>
      <w:r>
        <w:rPr>
          <w:rFonts w:cs="Arial" w:ascii="Arial" w:hAnsi="Arial"/>
          <w:color w:val="000000"/>
          <w:sz w:val="20"/>
          <w:szCs w:val="20"/>
        </w:rPr>
        <w:t xml:space="preserve">8.9.1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Nivel01"/>
        <w:numPr>
          <w:ilvl w:val="0"/>
          <w:numId w:val="0"/>
        </w:numPr>
        <w:spacing w:lineRule="auto" w:line="360"/>
        <w:ind w:left="0" w:hanging="0"/>
        <w:rPr>
          <w:rFonts w:ascii="Arial" w:hAnsi="Arial" w:cs="Arial"/>
        </w:rPr>
      </w:pPr>
      <w:r>
        <w:rPr>
          <w:rFonts w:cs="Arial" w:ascii="Arial" w:hAnsi="Arial"/>
          <w:lang w:eastAsia="en-US"/>
        </w:rPr>
        <w:t xml:space="preserve">10 DA HABILITAÇÃO  </w:t>
      </w:r>
    </w:p>
    <w:p>
      <w:pPr>
        <w:pStyle w:val="Nivel01"/>
        <w:numPr>
          <w:ilvl w:val="0"/>
          <w:numId w:val="0"/>
        </w:numPr>
        <w:spacing w:lineRule="auto" w:line="360"/>
        <w:ind w:left="0" w:hanging="0"/>
        <w:rPr/>
      </w:pPr>
      <w:r>
        <w:rPr>
          <w:rFonts w:cs="Arial" w:ascii="Arial" w:hAnsi="Arial"/>
          <w:b w:val="false"/>
          <w:lang w:eastAsia="ar-SA"/>
        </w:rPr>
        <w:t xml:space="preserve">10.1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360"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360" w:before="120" w:after="120"/>
        <w:ind w:left="1134" w:hanging="0"/>
        <w:contextualSpacing/>
        <w:jc w:val="both"/>
        <w:rPr/>
      </w:pPr>
      <w:r>
        <w:rPr>
          <w:rFonts w:cs="Arial" w:ascii="Arial" w:hAnsi="Arial"/>
          <w:sz w:val="20"/>
          <w:szCs w:val="20"/>
          <w:lang w:eastAsia="ar-SA"/>
        </w:rPr>
        <w:t>b) Cadastro Nacional de Empresas Inidôneas e Suspensas - CEIS, mantido pela Controladoria-Geral da União (</w:t>
      </w:r>
      <w:hyperlink r:id="rId4">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360" w:before="120" w:after="120"/>
        <w:ind w:left="1134" w:hanging="0"/>
        <w:contextualSpacing/>
        <w:jc w:val="both"/>
        <w:rPr/>
      </w:pPr>
      <w:r>
        <w:rPr>
          <w:rFonts w:cs="Arial" w:ascii="Arial" w:hAnsi="Arial"/>
          <w:sz w:val="20"/>
          <w:szCs w:val="20"/>
          <w:lang w:eastAsia="ar-SA"/>
        </w:rPr>
        <w:t>c) Cadastro Nacional de Condenações Cíveis por Atos de Improbidade Administrativa, mantido pelo Conselho Nacional de Justiça (</w:t>
      </w:r>
      <w:hyperlink r:id="rId5">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360"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keepNext w:val="true"/>
        <w:keepLines/>
        <w:widowControl/>
        <w:numPr>
          <w:ilvl w:val="0"/>
          <w:numId w:val="0"/>
        </w:numPr>
        <w:suppressAutoHyphens w:val="false"/>
        <w:bidi w:val="0"/>
        <w:spacing w:lineRule="auto" w:line="360" w:before="240" w:after="0"/>
        <w:ind w:left="720" w:right="0" w:hanging="0"/>
        <w:jc w:val="both"/>
        <w:rPr>
          <w:rFonts w:ascii="Arial" w:hAnsi="Arial" w:cs="Arial"/>
          <w:b w:val="false"/>
          <w:b w:val="false"/>
        </w:rPr>
      </w:pPr>
      <w:r>
        <w:rPr>
          <w:rFonts w:cs="Arial" w:ascii="Arial" w:hAnsi="Arial"/>
          <w:b w:val="false"/>
          <w:bCs w:val="false"/>
          <w:lang w:eastAsia="ar-SA"/>
        </w:rPr>
        <w:t>10.1.1 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numPr>
          <w:ilvl w:val="0"/>
          <w:numId w:val="0"/>
        </w:numPr>
        <w:spacing w:lineRule="auto" w:line="360" w:before="120" w:after="120"/>
        <w:ind w:left="720" w:hanging="0"/>
        <w:contextualSpacing/>
        <w:jc w:val="both"/>
        <w:rPr/>
      </w:pPr>
      <w:r>
        <w:rPr>
          <w:rFonts w:cs="Arial" w:ascii="Arial" w:hAnsi="Arial"/>
          <w:bCs/>
          <w:color w:val="000000"/>
          <w:sz w:val="20"/>
          <w:szCs w:val="20"/>
        </w:rPr>
        <w:t>10.1.2 A consulta aos cadastros será realizada em nome da empresa licitante e também de seu sócio majoritário, por força do artigo 12 da Lei n° 8.429, de 1992, que prevê, dentre assanções impostas ao responsável pela prática de ato de improbidade administrativa, a proibição de contratar com o Poder Público, inclusive por intermédio de pessoa jurídica da qual seja sócio majoritário.</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10.1.2.1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10.1.2.2 A tentativa de burla será verificada por meio dos vínculos societários, linhas de fornecimento similares, dentre outros.</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10.1.2.3 O licitante será convocado para manifestação previamente à sua desclassificação.</w:t>
      </w:r>
    </w:p>
    <w:p>
      <w:pPr>
        <w:pStyle w:val="ListParagraph"/>
        <w:numPr>
          <w:ilvl w:val="0"/>
          <w:numId w:val="0"/>
        </w:numPr>
        <w:spacing w:lineRule="auto" w:line="360" w:before="120" w:after="120"/>
        <w:ind w:left="0" w:hanging="0"/>
        <w:contextualSpacing/>
        <w:jc w:val="both"/>
        <w:rPr>
          <w:rFonts w:ascii="Arial" w:hAnsi="Arial" w:cs="Arial"/>
          <w:bCs/>
          <w:color w:val="000000"/>
          <w:sz w:val="20"/>
          <w:szCs w:val="20"/>
        </w:rPr>
      </w:pPr>
      <w:r>
        <w:rPr>
          <w:rFonts w:cs="Arial" w:ascii="Arial" w:hAnsi="Arial"/>
          <w:bCs/>
          <w:color w:val="000000"/>
          <w:sz w:val="20"/>
          <w:szCs w:val="20"/>
        </w:rPr>
        <w:t>10.1.3 Constatada a existência de sanção, o Pregoeiro reputará o licitante inabilitado, por falta de condição de participação.</w:t>
      </w:r>
    </w:p>
    <w:p>
      <w:pPr>
        <w:pStyle w:val="ListParagraph"/>
        <w:numPr>
          <w:ilvl w:val="0"/>
          <w:numId w:val="0"/>
        </w:numPr>
        <w:spacing w:lineRule="auto" w:line="360" w:before="120" w:after="120"/>
        <w:ind w:left="0" w:hanging="0"/>
        <w:contextualSpacing/>
        <w:jc w:val="both"/>
        <w:rPr>
          <w:rFonts w:ascii="Arial" w:hAnsi="Arial" w:cs="Arial"/>
          <w:bCs/>
          <w:color w:val="000000"/>
          <w:sz w:val="20"/>
          <w:szCs w:val="20"/>
        </w:rPr>
      </w:pPr>
      <w:r>
        <w:rPr>
          <w:rFonts w:cs="Arial" w:ascii="Arial" w:hAnsi="Arial"/>
          <w:bCs/>
          <w:color w:val="000000"/>
          <w:sz w:val="20"/>
          <w:szCs w:val="20"/>
        </w:rPr>
        <w:t>10.1.4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360"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360" w:before="120" w:after="120"/>
        <w:ind w:left="0" w:hanging="0"/>
        <w:contextualSpacing/>
        <w:jc w:val="both"/>
        <w:rPr/>
      </w:pPr>
      <w:r>
        <w:rPr>
          <w:rFonts w:cs="Arial" w:ascii="Arial" w:hAnsi="Arial"/>
          <w:color w:val="000000" w:themeColor="text1"/>
          <w:sz w:val="20"/>
          <w:szCs w:val="20"/>
          <w:lang w:eastAsia="ar-SA"/>
        </w:rPr>
        <w:t xml:space="preserve">10.2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 licitante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numPr>
          <w:ilvl w:val="0"/>
          <w:numId w:val="0"/>
        </w:numPr>
        <w:spacing w:lineRule="auto" w:line="360" w:before="120" w:after="120"/>
        <w:ind w:left="0" w:hanging="0"/>
        <w:contextualSpacing/>
        <w:jc w:val="both"/>
        <w:rPr>
          <w:rFonts w:ascii="Arial" w:hAnsi="Arial" w:cs="Arial"/>
          <w:sz w:val="20"/>
          <w:szCs w:val="20"/>
          <w:lang w:eastAsia="ar-SA"/>
        </w:rPr>
      </w:pPr>
      <w:r>
        <w:rPr>
          <w:rFonts w:cs="Arial" w:ascii="Arial" w:hAnsi="Arial"/>
          <w:sz w:val="20"/>
          <w:szCs w:val="20"/>
          <w:lang w:eastAsia="ar-SA"/>
        </w:rPr>
        <w:t>10.2.1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10.2.2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cs="Arial" w:ascii="Arial" w:hAnsi="Arial"/>
          <w:color w:val="000000"/>
          <w:sz w:val="20"/>
          <w:szCs w:val="20"/>
        </w:rPr>
        <w:t>10.2.3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true"/>
        <w:widowControl/>
        <w:numPr>
          <w:ilvl w:val="0"/>
          <w:numId w:val="0"/>
        </w:numPr>
        <w:shd w:val="clear" w:fill="FFFFFF"/>
        <w:spacing w:lineRule="auto" w:line="360" w:before="120" w:after="120"/>
        <w:ind w:left="0" w:hanging="0"/>
        <w:rPr>
          <w:rFonts w:ascii="Arial" w:hAnsi="Arial" w:eastAsia="ＭＳ 明朝" w:cs="Arial"/>
          <w:color w:val="000000"/>
          <w:sz w:val="20"/>
          <w:szCs w:val="20"/>
          <w:lang w:val="pt-BR" w:eastAsia="pt-BR" w:bidi="ar-SA"/>
        </w:rPr>
      </w:pPr>
      <w:r>
        <w:rPr>
          <w:rFonts w:eastAsia="ＭＳ 明朝" w:cs="Arial" w:ascii="Arial" w:hAnsi="Arial"/>
          <w:color w:val="000000"/>
          <w:sz w:val="20"/>
          <w:szCs w:val="20"/>
          <w:lang w:val="pt-BR" w:eastAsia="pt-BR" w:bidi="ar-SA"/>
        </w:rPr>
        <w:t>10.3 Havendo a necessidade de envio de documentos de habilitação complementares, necessários à confirmação daqueles exigidos neste Edital e já apresentados, o licitante será convocado a encaminhá-los, em formato digital, via sistema, no prazo de 02 (duas)</w:t>
      </w:r>
      <w:r>
        <w:rPr>
          <w:rFonts w:eastAsia="ＭＳ 明朝" w:cs="Arial" w:ascii="Arial" w:hAnsi="Arial"/>
          <w:i/>
          <w:iCs/>
          <w:color w:val="000000"/>
          <w:sz w:val="20"/>
          <w:szCs w:val="20"/>
          <w:lang w:val="pt-BR" w:eastAsia="pt-BR" w:bidi="ar-SA"/>
        </w:rPr>
        <w:t xml:space="preserve"> </w:t>
      </w:r>
      <w:r>
        <w:rPr>
          <w:rFonts w:eastAsia="ＭＳ 明朝" w:cs="Arial" w:ascii="Arial" w:hAnsi="Arial"/>
          <w:color w:val="000000"/>
          <w:sz w:val="20"/>
          <w:szCs w:val="20"/>
          <w:lang w:val="pt-BR" w:eastAsia="pt-BR" w:bidi="ar-SA"/>
        </w:rPr>
        <w:t>horas, sob pena de inabilitação.</w:t>
      </w:r>
    </w:p>
    <w:p>
      <w:pPr>
        <w:pStyle w:val="Normal"/>
        <w:numPr>
          <w:ilvl w:val="0"/>
          <w:numId w:val="0"/>
        </w:numPr>
        <w:spacing w:lineRule="auto" w:line="360" w:before="120" w:after="120"/>
        <w:ind w:left="0" w:hanging="0"/>
        <w:jc w:val="both"/>
        <w:rPr/>
      </w:pPr>
      <w:r>
        <w:rPr>
          <w:rFonts w:cs="Arial" w:ascii="Arial" w:hAnsi="Arial"/>
          <w:sz w:val="20"/>
          <w:szCs w:val="20"/>
        </w:rPr>
        <w:t>10.4 Somente haverá a necessidade de comprovação do preenchimento de requisitos mediante apresentação dos documentos originais não-digitais quando houver dúvida em relação à integridade do documento digital.</w:t>
      </w:r>
    </w:p>
    <w:p>
      <w:pPr>
        <w:pStyle w:val="ListParagraph"/>
        <w:numPr>
          <w:ilvl w:val="0"/>
          <w:numId w:val="0"/>
        </w:numPr>
        <w:spacing w:lineRule="auto" w:line="360" w:before="120" w:after="120"/>
        <w:ind w:left="0" w:hanging="0"/>
        <w:contextualSpacing/>
        <w:jc w:val="both"/>
        <w:rPr/>
      </w:pPr>
      <w:r>
        <w:rPr>
          <w:rFonts w:cs="Arial" w:ascii="Arial" w:hAnsi="Arial"/>
          <w:sz w:val="20"/>
          <w:szCs w:val="20"/>
        </w:rPr>
        <w:t>10.5 Não serão aceitos documentos de habilitação com indicação de CNPJ/CPF diferentes, salvo aqueles legalmente permitidos.</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10.6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0"/>
          <w:numId w:val="0"/>
        </w:numPr>
        <w:spacing w:lineRule="auto" w:line="360" w:before="120" w:after="120"/>
        <w:ind w:left="720" w:hanging="0"/>
        <w:contextualSpacing/>
        <w:jc w:val="both"/>
        <w:rPr>
          <w:rFonts w:ascii="Arial" w:hAnsi="Arial" w:cs="Arial"/>
          <w:sz w:val="20"/>
          <w:szCs w:val="20"/>
        </w:rPr>
      </w:pPr>
      <w:r>
        <w:rPr>
          <w:rFonts w:cs="Arial" w:ascii="Arial" w:hAnsi="Arial"/>
          <w:sz w:val="20"/>
          <w:szCs w:val="20"/>
        </w:rPr>
        <w:t>10.6.1 Serão aceitos registros de CNPJ de licitante matriz e filial com diferenças de números de documentos pertinentes ao CND e ao CRF/FGTS, quando for comprovada a centralização do recolhimento dessas contribuições.</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10.7 Ressalvado o disposto no item 5.3, os licitantes deverão encaminhar, nos termos deste Edital, a documentação relacionada nos itens a seguir, para fins de habilitação:</w:t>
      </w:r>
    </w:p>
    <w:p>
      <w:pPr>
        <w:pStyle w:val="ListParagraph"/>
        <w:spacing w:lineRule="auto" w:line="360"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numPr>
          <w:ilvl w:val="0"/>
          <w:numId w:val="0"/>
        </w:numPr>
        <w:spacing w:lineRule="auto" w:line="360" w:before="120" w:after="120"/>
        <w:ind w:left="0" w:hanging="0"/>
        <w:contextualSpacing/>
        <w:jc w:val="both"/>
        <w:rPr>
          <w:rFonts w:ascii="Arial" w:hAnsi="Arial" w:cs="Arial"/>
          <w:b/>
          <w:b/>
          <w:bCs/>
          <w:color w:val="000000"/>
          <w:sz w:val="20"/>
          <w:szCs w:val="20"/>
        </w:rPr>
      </w:pPr>
      <w:r>
        <w:rPr>
          <w:rFonts w:cs="Arial" w:ascii="Arial" w:hAnsi="Arial"/>
          <w:b/>
          <w:bCs/>
          <w:color w:val="000000"/>
          <w:sz w:val="20"/>
          <w:szCs w:val="20"/>
        </w:rPr>
        <w:t xml:space="preserve">11. Habilitação jurídica: </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11.1 No caso de empresário individual: inscrição no Registro Público de Empresas Mercantis, a cargo da Junta Comercial da respectiva sede;</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11.1.1 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0"/>
          <w:numId w:val="0"/>
        </w:numPr>
        <w:spacing w:lineRule="auto" w:line="360" w:before="120" w:after="120"/>
        <w:ind w:left="1440" w:hanging="0"/>
        <w:contextualSpacing/>
        <w:jc w:val="both"/>
        <w:rPr>
          <w:rFonts w:ascii="Arial" w:hAnsi="Arial" w:cs="Arial"/>
          <w:bCs/>
          <w:color w:val="000000"/>
          <w:sz w:val="20"/>
          <w:szCs w:val="20"/>
        </w:rPr>
      </w:pPr>
      <w:r>
        <w:rPr>
          <w:rFonts w:cs="Arial" w:ascii="Arial" w:hAnsi="Arial"/>
          <w:bCs/>
          <w:color w:val="000000"/>
          <w:sz w:val="20"/>
          <w:szCs w:val="20"/>
        </w:rPr>
        <w:t>11.1.2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360" w:before="120" w:after="120"/>
        <w:ind w:left="1440" w:hanging="0"/>
        <w:contextualSpacing/>
        <w:jc w:val="both"/>
        <w:rPr>
          <w:rFonts w:ascii="Arial" w:hAnsi="Arial" w:cs="Arial"/>
          <w:bCs/>
          <w:color w:val="000000"/>
          <w:sz w:val="20"/>
          <w:szCs w:val="20"/>
        </w:rPr>
      </w:pPr>
      <w:r>
        <w:rPr>
          <w:rFonts w:cs="Arial" w:ascii="Arial" w:hAnsi="Arial"/>
          <w:bCs/>
          <w:color w:val="000000"/>
          <w:sz w:val="20"/>
          <w:szCs w:val="20"/>
        </w:rPr>
        <w:t>11.1.3 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360" w:before="120" w:after="120"/>
        <w:ind w:left="1440" w:hanging="0"/>
        <w:contextualSpacing/>
        <w:jc w:val="both"/>
        <w:rPr>
          <w:rFonts w:ascii="Arial" w:hAnsi="Arial" w:cs="Arial"/>
          <w:bCs/>
          <w:color w:val="000000"/>
          <w:sz w:val="20"/>
          <w:szCs w:val="20"/>
        </w:rPr>
      </w:pPr>
      <w:r>
        <w:rPr>
          <w:rFonts w:cs="Arial" w:ascii="Arial" w:hAnsi="Arial"/>
          <w:bCs/>
          <w:color w:val="000000"/>
          <w:sz w:val="20"/>
          <w:szCs w:val="20"/>
        </w:rPr>
        <w:t>11.1.4 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360" w:before="120" w:after="120"/>
        <w:ind w:left="1440" w:hanging="0"/>
        <w:contextualSpacing/>
        <w:jc w:val="both"/>
        <w:rPr>
          <w:rFonts w:ascii="Arial" w:hAnsi="Arial" w:cs="Arial"/>
          <w:bCs/>
          <w:color w:val="000000"/>
          <w:sz w:val="20"/>
          <w:szCs w:val="20"/>
        </w:rPr>
      </w:pPr>
      <w:r>
        <w:rPr>
          <w:rFonts w:cs="Arial" w:ascii="Arial" w:hAnsi="Arial"/>
          <w:bCs/>
          <w:color w:val="000000"/>
          <w:sz w:val="20"/>
          <w:szCs w:val="20"/>
        </w:rPr>
        <w:t>11.1.5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360" w:before="120" w:after="120"/>
        <w:ind w:left="1440" w:hanging="0"/>
        <w:contextualSpacing/>
        <w:jc w:val="both"/>
        <w:rPr>
          <w:rFonts w:ascii="Arial" w:hAnsi="Arial" w:eastAsia="ＭＳ 明朝" w:cs="Arial"/>
          <w:bCs/>
          <w:i w:val="false"/>
          <w:i w:val="false"/>
          <w:iCs w:val="false"/>
          <w:color w:val="000000"/>
          <w:sz w:val="20"/>
          <w:szCs w:val="20"/>
          <w:lang w:val="pt-BR" w:eastAsia="pt-BR" w:bidi="ar-SA"/>
        </w:rPr>
      </w:pPr>
      <w:r>
        <w:rPr>
          <w:rFonts w:eastAsia="ＭＳ 明朝" w:cs="Arial" w:ascii="Arial" w:hAnsi="Arial"/>
          <w:bCs/>
          <w:i w:val="false"/>
          <w:iCs w:val="false"/>
          <w:color w:val="000000"/>
          <w:sz w:val="20"/>
          <w:szCs w:val="20"/>
          <w:lang w:val="pt-BR" w:eastAsia="pt-BR" w:bidi="ar-SA"/>
        </w:rPr>
        <w:t xml:space="preserve">11.1.6 No caso de agricultor familiar: Declaração de Aptidão ao Pronaf – DAP ou DAP-P válida, ou, ainda, outros documentos definidos pela Secretaria Especial de Agricultura Familiar e do Desenvolvimento Agrário, nos termos do art. 4º, §2º do Decreto n. 7.775, de 2012. </w:t>
      </w:r>
    </w:p>
    <w:p>
      <w:pPr>
        <w:pStyle w:val="ListParagraph"/>
        <w:numPr>
          <w:ilvl w:val="0"/>
          <w:numId w:val="0"/>
        </w:numPr>
        <w:spacing w:lineRule="auto" w:line="360" w:before="120" w:after="120"/>
        <w:ind w:left="1440" w:hanging="0"/>
        <w:contextualSpacing/>
        <w:jc w:val="both"/>
        <w:rPr>
          <w:rFonts w:ascii="Arial" w:hAnsi="Arial" w:eastAsia="ＭＳ 明朝" w:cs="Arial"/>
          <w:bCs/>
          <w:i w:val="false"/>
          <w:i w:val="false"/>
          <w:iCs w:val="false"/>
          <w:color w:val="000000"/>
          <w:sz w:val="20"/>
          <w:szCs w:val="20"/>
          <w:lang w:val="pt-BR" w:eastAsia="pt-BR" w:bidi="ar-SA"/>
        </w:rPr>
      </w:pPr>
      <w:r>
        <w:rPr>
          <w:rFonts w:eastAsia="ＭＳ 明朝" w:cs="Arial" w:ascii="Arial" w:hAnsi="Arial"/>
          <w:bCs/>
          <w:i w:val="false"/>
          <w:iCs w:val="false"/>
          <w:color w:val="000000"/>
          <w:sz w:val="20"/>
          <w:szCs w:val="20"/>
          <w:lang w:val="pt-BR" w:eastAsia="pt-BR" w:bidi="ar-SA"/>
        </w:rPr>
        <w:t xml:space="preserve">11.1.7 No caso de produtor rural: matrícula no Cadastro Específico do INSS – CEI, que comprove a qualificação como produtor rural pessoa física, nos termos da Instrução Normativa RFB n. 971, de 2009 (arts. 17 a 19 e 165).  </w:t>
      </w:r>
    </w:p>
    <w:p>
      <w:pPr>
        <w:pStyle w:val="ListParagraph"/>
        <w:numPr>
          <w:ilvl w:val="0"/>
          <w:numId w:val="0"/>
        </w:numPr>
        <w:spacing w:lineRule="auto" w:line="360" w:before="120" w:after="120"/>
        <w:ind w:left="1440" w:hanging="0"/>
        <w:contextualSpacing/>
        <w:jc w:val="both"/>
        <w:rPr>
          <w:rFonts w:ascii="Arial" w:hAnsi="Arial" w:cs="Arial"/>
          <w:bCs/>
          <w:color w:val="000000"/>
          <w:sz w:val="20"/>
          <w:szCs w:val="20"/>
        </w:rPr>
      </w:pPr>
      <w:r>
        <w:rPr>
          <w:rFonts w:cs="Arial" w:ascii="Arial" w:hAnsi="Arial"/>
          <w:bCs/>
          <w:color w:val="000000"/>
          <w:sz w:val="20"/>
          <w:szCs w:val="20"/>
        </w:rPr>
        <w:t>11.1.8 No caso de empresa ou sociedade estrangeira em funcionamento no País: decreto de autorização;</w:t>
      </w:r>
    </w:p>
    <w:p>
      <w:pPr>
        <w:pStyle w:val="ListParagraph"/>
        <w:widowControl/>
        <w:numPr>
          <w:ilvl w:val="0"/>
          <w:numId w:val="0"/>
        </w:numPr>
        <w:suppressAutoHyphens w:val="false"/>
        <w:bidi w:val="0"/>
        <w:spacing w:lineRule="auto" w:line="360" w:before="120" w:after="120"/>
        <w:ind w:left="1440" w:right="0" w:hanging="0"/>
        <w:contextualSpacing/>
        <w:jc w:val="both"/>
        <w:rPr>
          <w:b/>
          <w:b/>
          <w:bCs/>
          <w:u w:val="single"/>
        </w:rPr>
      </w:pPr>
      <w:r>
        <w:rPr>
          <w:rFonts w:cs="Arial" w:ascii="Arial" w:hAnsi="Arial"/>
          <w:b/>
          <w:bCs/>
          <w:color w:val="000000"/>
          <w:sz w:val="20"/>
          <w:szCs w:val="20"/>
          <w:u w:val="single"/>
        </w:rPr>
        <w:t xml:space="preserve"> </w:t>
      </w:r>
      <w:r>
        <w:rPr>
          <w:rFonts w:cs="Arial" w:ascii="Arial" w:hAnsi="Arial"/>
          <w:b/>
          <w:bCs/>
          <w:i w:val="false"/>
          <w:color w:val="000000"/>
          <w:kern w:val="2"/>
          <w:sz w:val="20"/>
          <w:szCs w:val="20"/>
          <w:u w:val="single"/>
        </w:rPr>
        <w:t xml:space="preserve">11.1.8.1 </w:t>
      </w:r>
      <w:r>
        <w:rPr>
          <w:rFonts w:cs="Arial" w:ascii="TimesNewRomanPSMT" w:hAnsi="TimesNewRomanPSMT"/>
          <w:b/>
          <w:bCs/>
          <w:i w:val="false"/>
          <w:color w:val="000000"/>
          <w:kern w:val="2"/>
          <w:sz w:val="22"/>
          <w:szCs w:val="20"/>
          <w:u w:val="single"/>
        </w:rPr>
        <w:t>As empresas estrangeiras que funcionam no país, autorizadas por Decreto do Poder Executivo na forma do inciso V, do art. 28, da Lei Federal n° 8.666/1993, devem se cadastrar no SICAF com a identificação do Cadastro Nacional de Pessoas Jurídicas conforme as condições postas na referida Instrução Normativa n° 10/2020.</w:t>
      </w:r>
    </w:p>
    <w:p>
      <w:pPr>
        <w:pStyle w:val="ListParagraph"/>
        <w:numPr>
          <w:ilvl w:val="0"/>
          <w:numId w:val="0"/>
        </w:numPr>
        <w:spacing w:lineRule="auto" w:line="360" w:before="120" w:after="120"/>
        <w:ind w:left="720" w:hanging="0"/>
        <w:contextualSpacing/>
        <w:jc w:val="both"/>
        <w:rPr>
          <w:b/>
          <w:b/>
          <w:bCs/>
        </w:rPr>
      </w:pPr>
      <w:r>
        <w:rPr>
          <w:rFonts w:cs="Arial" w:ascii="Arial" w:hAnsi="Arial"/>
          <w:b/>
          <w:bCs/>
          <w:color w:val="000000"/>
          <w:sz w:val="20"/>
          <w:szCs w:val="20"/>
        </w:rPr>
        <w:t>11.1.9 SUPRIMIDO</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11.1.10 Os documentos acima deverão estar acompanhados de todas as alterações ou da consolidação respectiva;</w:t>
      </w:r>
    </w:p>
    <w:p>
      <w:pPr>
        <w:pStyle w:val="ListParagraph"/>
        <w:widowControl/>
        <w:numPr>
          <w:ilvl w:val="0"/>
          <w:numId w:val="0"/>
        </w:numPr>
        <w:suppressAutoHyphens w:val="false"/>
        <w:bidi w:val="0"/>
        <w:spacing w:lineRule="auto" w:line="360" w:before="120" w:after="120"/>
        <w:ind w:left="567"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11.2 Regularidade fiscal </w:t>
      </w:r>
      <w:r>
        <w:rPr>
          <w:rFonts w:cs="Arial" w:ascii="Arial" w:hAnsi="Arial"/>
          <w:b/>
          <w:bCs/>
          <w:sz w:val="20"/>
          <w:szCs w:val="20"/>
        </w:rPr>
        <w:t>e trabalhista</w:t>
      </w:r>
      <w:r>
        <w:rPr>
          <w:rFonts w:cs="Arial" w:ascii="Arial" w:hAnsi="Arial"/>
          <w:b/>
          <w:bCs/>
          <w:color w:val="0000FF"/>
          <w:sz w:val="20"/>
          <w:szCs w:val="20"/>
        </w:rPr>
        <w:t>:</w:t>
      </w:r>
      <w:r>
        <w:rPr>
          <w:rFonts w:cs="Arial" w:ascii="Arial" w:hAnsi="Arial"/>
          <w:b/>
          <w:bCs/>
          <w:color w:val="000000"/>
          <w:sz w:val="20"/>
          <w:szCs w:val="20"/>
        </w:rPr>
        <w:t xml:space="preserve"> </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sz w:val="20"/>
          <w:szCs w:val="20"/>
          <w:lang w:eastAsia="en-US"/>
        </w:rPr>
      </w:pPr>
      <w:r>
        <w:rPr>
          <w:rFonts w:cs="Arial" w:ascii="Arial" w:hAnsi="Arial"/>
          <w:sz w:val="20"/>
          <w:szCs w:val="20"/>
          <w:lang w:eastAsia="en-US"/>
        </w:rPr>
        <w:t>11.2.1 prova de inscrição no Cadastro Nacional de Pessoas Jurídicas ou no Cadastro de Pessoas Físicas, conforme o caso;</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sz w:val="20"/>
          <w:szCs w:val="20"/>
        </w:rPr>
      </w:pPr>
      <w:r>
        <w:rPr>
          <w:rFonts w:cs="Arial" w:ascii="Arial" w:hAnsi="Arial"/>
          <w:sz w:val="20"/>
          <w:szCs w:val="20"/>
        </w:rPr>
        <w:t>11.2.2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rPr>
      </w:pPr>
      <w:r>
        <w:rPr>
          <w:rFonts w:cs="Arial" w:ascii="Arial" w:hAnsi="Arial"/>
          <w:color w:val="000000"/>
          <w:sz w:val="20"/>
          <w:szCs w:val="20"/>
          <w:lang w:eastAsia="en-US"/>
        </w:rPr>
        <w:t>11.2.3 prova de regularidade com o Fundo de Garantia do Tempo de Serviço (FGTS);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sz w:val="20"/>
          <w:szCs w:val="20"/>
        </w:rPr>
      </w:pPr>
      <w:r>
        <w:rPr>
          <w:rFonts w:cs="Arial" w:ascii="Arial" w:hAnsi="Arial"/>
          <w:sz w:val="20"/>
          <w:szCs w:val="20"/>
          <w:lang w:eastAsia="en-US"/>
        </w:rPr>
        <w:t>11.2.4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Cs/>
          <w:color w:val="000000"/>
          <w:sz w:val="20"/>
          <w:szCs w:val="20"/>
        </w:rPr>
      </w:pPr>
      <w:r>
        <w:rPr>
          <w:rFonts w:cs="Arial" w:ascii="Arial" w:hAnsi="Arial"/>
          <w:bCs/>
          <w:color w:val="000000"/>
          <w:sz w:val="20"/>
          <w:szCs w:val="20"/>
        </w:rPr>
        <w:t xml:space="preserve">11.2.5 prova de inscrição no cadastro de contribuintes estadual, relativo ao domicílio ou sede do licitante, pertinente ao seu ramo de atividade e compatível com o objeto contratual; </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b/>
          <w:b/>
          <w:sz w:val="20"/>
          <w:szCs w:val="20"/>
        </w:rPr>
      </w:pPr>
      <w:r>
        <w:rPr>
          <w:rFonts w:cs="Arial" w:ascii="Arial" w:hAnsi="Arial"/>
          <w:sz w:val="20"/>
          <w:szCs w:val="20"/>
        </w:rPr>
        <w:t>11.2.6  prova de regularidade com a Fazenda Estadual do domicílio ou sede do licitante, relativa à atividade em cujo exercício contrata ou concorre;</w:t>
      </w:r>
    </w:p>
    <w:p>
      <w:pPr>
        <w:pStyle w:val="Normal"/>
        <w:numPr>
          <w:ilvl w:val="0"/>
          <w:numId w:val="0"/>
        </w:numPr>
        <w:tabs>
          <w:tab w:val="clear" w:pos="720"/>
          <w:tab w:val="left" w:pos="1440" w:leader="none"/>
        </w:tabs>
        <w:snapToGrid w:val="false"/>
        <w:spacing w:lineRule="auto" w:line="360" w:before="120" w:after="120"/>
        <w:ind w:left="1440" w:hanging="0"/>
        <w:jc w:val="both"/>
        <w:rPr/>
      </w:pPr>
      <w:r>
        <w:rPr>
          <w:rFonts w:cs="Arial" w:ascii="Arial" w:hAnsi="Arial"/>
          <w:color w:val="000000"/>
          <w:sz w:val="20"/>
          <w:szCs w:val="20"/>
        </w:rPr>
        <w:t xml:space="preserve">11.2.7 caso o 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0"/>
          <w:numId w:val="0"/>
        </w:numPr>
        <w:tabs>
          <w:tab w:val="clear" w:pos="720"/>
          <w:tab w:val="left" w:pos="1440" w:leader="none"/>
        </w:tabs>
        <w:snapToGrid w:val="false"/>
        <w:spacing w:lineRule="auto" w:line="360" w:before="120" w:after="120"/>
        <w:ind w:left="1440" w:hanging="0"/>
        <w:jc w:val="both"/>
        <w:rPr/>
      </w:pPr>
      <w:r>
        <w:rPr>
          <w:rFonts w:cs="Arial" w:ascii="Arial" w:hAnsi="Arial"/>
          <w:color w:val="000000"/>
          <w:sz w:val="20"/>
          <w:szCs w:val="20"/>
          <w:lang w:eastAsia="en-US" w:bidi="pt-BR"/>
        </w:rPr>
        <w:t xml:space="preserve">11.2.8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 w:cs="Arial"/>
          <w:i w:val="false"/>
          <w:i w:val="false"/>
          <w:iCs w:val="false"/>
          <w:color w:val="000000"/>
          <w:kern w:val="0"/>
          <w:sz w:val="20"/>
          <w:szCs w:val="20"/>
          <w:lang w:val="pt-BR" w:eastAsia="en-US"/>
        </w:rPr>
      </w:pPr>
      <w:r>
        <w:rPr>
          <w:rFonts w:eastAsia="" w:cs="Arial" w:ascii="Arial" w:hAnsi="Arial"/>
          <w:bCs/>
          <w:i w:val="false"/>
          <w:iCs w:val="false"/>
          <w:color w:val="000000"/>
          <w:kern w:val="0"/>
          <w:sz w:val="20"/>
          <w:szCs w:val="20"/>
          <w:lang w:val="pt-BR" w:eastAsia="en-US"/>
        </w:rPr>
        <w:t xml:space="preserve">11.2.9  </w:t>
      </w:r>
      <w:r>
        <w:rPr>
          <w:rFonts w:eastAsia="" w:cs="Arial" w:ascii="Arial" w:hAnsi="Arial"/>
          <w:b/>
          <w:bCs/>
          <w:i w:val="false"/>
          <w:iCs w:val="false"/>
          <w:color w:val="000000"/>
          <w:kern w:val="0"/>
          <w:sz w:val="20"/>
          <w:szCs w:val="20"/>
          <w:u w:val="single"/>
          <w:lang w:val="pt-BR" w:eastAsia="en-US"/>
        </w:rPr>
        <w:t>SUPRIMIDO (</w:t>
      </w:r>
      <w:r>
        <w:rPr>
          <w:rFonts w:eastAsia="" w:cs="Arial" w:ascii="Arial" w:hAnsi="Arial"/>
          <w:bCs/>
          <w:i w:val="false"/>
          <w:iCs w:val="false"/>
          <w:color w:val="000000"/>
          <w:kern w:val="0"/>
          <w:sz w:val="20"/>
          <w:szCs w:val="20"/>
          <w:lang w:val="pt-BR" w:eastAsia="en-US"/>
        </w:rPr>
        <w:t>Não há previsão de subcontratação)</w:t>
      </w:r>
    </w:p>
    <w:p>
      <w:pPr>
        <w:pStyle w:val="ListParagraph"/>
        <w:numPr>
          <w:ilvl w:val="0"/>
          <w:numId w:val="0"/>
        </w:numPr>
        <w:spacing w:lineRule="auto" w:line="360" w:before="120" w:after="120"/>
        <w:ind w:left="0" w:hanging="0"/>
        <w:contextualSpacing/>
        <w:jc w:val="both"/>
        <w:rPr/>
      </w:pPr>
      <w:r>
        <w:rPr>
          <w:rFonts w:cs="Arial" w:ascii="Arial" w:hAnsi="Arial"/>
          <w:b/>
          <w:color w:val="000000"/>
          <w:sz w:val="20"/>
          <w:szCs w:val="20"/>
        </w:rPr>
        <w:t>11.3 Qualificação Econômico-Financeira</w:t>
      </w:r>
      <w:r>
        <w:rPr>
          <w:rFonts w:cs="Arial" w:ascii="Arial" w:hAnsi="Arial"/>
          <w:color w:val="000000"/>
          <w:sz w:val="20"/>
          <w:szCs w:val="20"/>
        </w:rPr>
        <w:t>.</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color w:val="000000"/>
          <w:sz w:val="20"/>
          <w:szCs w:val="20"/>
        </w:rPr>
        <w:t>11.3.1 certidão negativa de falência  expedida pelo distribuidor da sede da pessoa jurídica;</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color w:val="000000"/>
          <w:sz w:val="20"/>
          <w:szCs w:val="20"/>
        </w:rPr>
        <w:t>11.3.2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360" w:before="120" w:after="120"/>
        <w:ind w:left="1440" w:hanging="0"/>
        <w:contextualSpacing/>
        <w:jc w:val="both"/>
        <w:rPr/>
      </w:pPr>
      <w:r>
        <w:rPr>
          <w:rFonts w:cs="Arial" w:ascii="Arial" w:hAnsi="Arial"/>
          <w:bCs/>
          <w:iCs/>
          <w:color w:val="000000"/>
          <w:sz w:val="20"/>
          <w:szCs w:val="20"/>
        </w:rPr>
        <w:t>11.3.2.1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360" w:before="120" w:after="120"/>
        <w:ind w:left="1440" w:hanging="0"/>
        <w:contextualSpacing/>
        <w:jc w:val="both"/>
        <w:rPr/>
      </w:pPr>
      <w:r>
        <w:rPr>
          <w:rFonts w:cs="Arial" w:ascii="Arial" w:hAnsi="Arial"/>
          <w:color w:val="000000"/>
          <w:sz w:val="20"/>
          <w:szCs w:val="20"/>
          <w:lang w:eastAsia="en-US"/>
        </w:rPr>
        <w:t>11.3.2.2 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360" w:before="120" w:after="120"/>
        <w:ind w:left="1440" w:hanging="0"/>
        <w:contextualSpacing/>
        <w:jc w:val="both"/>
        <w:rPr/>
      </w:pPr>
      <w:r>
        <w:rPr>
          <w:rFonts w:cs="Arial" w:ascii="Arial" w:hAnsi="Arial"/>
          <w:color w:val="000000"/>
          <w:sz w:val="20"/>
          <w:szCs w:val="20"/>
          <w:lang w:eastAsia="en-US"/>
        </w:rPr>
        <w:t>11.3.2.3 é admissível o balanço intermediário, se decorrer de lei ou contrato social/estatuto social.</w:t>
      </w:r>
    </w:p>
    <w:p>
      <w:pPr>
        <w:pStyle w:val="ListParagraph"/>
        <w:numPr>
          <w:ilvl w:val="0"/>
          <w:numId w:val="0"/>
        </w:numPr>
        <w:spacing w:lineRule="auto" w:line="360" w:before="120" w:after="120"/>
        <w:ind w:left="1440" w:hanging="0"/>
        <w:contextualSpacing/>
        <w:jc w:val="both"/>
        <w:rPr/>
      </w:pPr>
      <w:r>
        <w:rPr>
          <w:rFonts w:cs="Arial" w:ascii="Arial" w:hAnsi="Arial"/>
          <w:color w:val="000000"/>
          <w:sz w:val="20"/>
          <w:szCs w:val="20"/>
          <w:lang w:eastAsia="en-US"/>
        </w:rPr>
        <w:t>11.3.2.4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color w:val="000000"/>
          <w:sz w:val="20"/>
          <w:szCs w:val="20"/>
        </w:rPr>
        <w:t>11.3.3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246" w:type="dxa"/>
        <w:tblCellMar>
          <w:top w:w="0" w:type="dxa"/>
          <w:left w:w="113"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shd w:fill="auto" w:val="clear"/>
            <w:vAlign w:val="center"/>
          </w:tcPr>
          <w:p>
            <w:pPr>
              <w:pStyle w:val="Normal"/>
              <w:tabs>
                <w:tab w:val="clear" w:pos="720"/>
                <w:tab w:val="left" w:pos="1440" w:leader="none"/>
              </w:tabs>
              <w:snapToGrid w:val="false"/>
              <w:spacing w:lineRule="auto" w:line="360"/>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tcBorders>
            <w:shd w:fill="auto" w:val="clear"/>
            <w:vAlign w:val="bottom"/>
          </w:tcPr>
          <w:p>
            <w:pPr>
              <w:pStyle w:val="Normal"/>
              <w:tabs>
                <w:tab w:val="clear" w:pos="720"/>
                <w:tab w:val="left" w:pos="1440" w:leader="none"/>
              </w:tabs>
              <w:snapToGrid w:val="false"/>
              <w:spacing w:lineRule="auto" w:line="360"/>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tcBorders>
            <w:shd w:fill="auto" w:val="clear"/>
          </w:tcPr>
          <w:p>
            <w:pPr>
              <w:pStyle w:val="Normal"/>
              <w:tabs>
                <w:tab w:val="clear" w:pos="720"/>
                <w:tab w:val="left" w:pos="1440" w:leader="none"/>
              </w:tabs>
              <w:snapToGrid w:val="false"/>
              <w:spacing w:lineRule="auto" w:line="36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shd w:fill="auto" w:val="clear"/>
          </w:tcPr>
          <w:p>
            <w:pPr>
              <w:pStyle w:val="Normal"/>
              <w:tabs>
                <w:tab w:val="clear" w:pos="720"/>
                <w:tab w:val="left" w:pos="1440" w:leader="none"/>
              </w:tabs>
              <w:snapToGrid w:val="false"/>
              <w:spacing w:lineRule="auto" w:line="360"/>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20"/>
          <w:tab w:val="left" w:pos="1440" w:leader="none"/>
        </w:tabs>
        <w:snapToGrid w:val="false"/>
        <w:spacing w:lineRule="auto" w:line="360"/>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246" w:type="dxa"/>
        <w:tblCellMar>
          <w:top w:w="0" w:type="dxa"/>
          <w:left w:w="113"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tcBorders>
            <w:shd w:fill="auto" w:val="clear"/>
            <w:vAlign w:val="center"/>
          </w:tcPr>
          <w:p>
            <w:pPr>
              <w:pStyle w:val="Normal"/>
              <w:tabs>
                <w:tab w:val="clear" w:pos="720"/>
                <w:tab w:val="left" w:pos="1440" w:leader="none"/>
              </w:tabs>
              <w:snapToGrid w:val="false"/>
              <w:spacing w:lineRule="auto" w:line="360"/>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tcBorders>
            <w:shd w:fill="auto" w:val="clear"/>
            <w:vAlign w:val="bottom"/>
          </w:tcPr>
          <w:p>
            <w:pPr>
              <w:pStyle w:val="Normal"/>
              <w:tabs>
                <w:tab w:val="clear" w:pos="720"/>
                <w:tab w:val="left" w:pos="1440" w:leader="none"/>
              </w:tabs>
              <w:snapToGrid w:val="false"/>
              <w:spacing w:lineRule="auto" w:line="360"/>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tcBorders>
            <w:shd w:fill="auto" w:val="clear"/>
          </w:tcPr>
          <w:p>
            <w:pPr>
              <w:pStyle w:val="Normal"/>
              <w:tabs>
                <w:tab w:val="clear" w:pos="720"/>
                <w:tab w:val="left" w:pos="1440" w:leader="none"/>
              </w:tabs>
              <w:snapToGrid w:val="false"/>
              <w:spacing w:lineRule="auto" w:line="360"/>
              <w:jc w:val="both"/>
              <w:rPr>
                <w:rFonts w:ascii="Arial" w:hAnsi="Arial" w:cs="Arial"/>
                <w:color w:val="000000"/>
                <w:sz w:val="20"/>
                <w:szCs w:val="20"/>
              </w:rPr>
            </w:pPr>
            <w:r>
              <w:rPr>
                <w:rFonts w:cs="Arial" w:ascii="Arial" w:hAnsi="Arial"/>
                <w:color w:val="000000"/>
                <w:sz w:val="20"/>
                <w:szCs w:val="20"/>
              </w:rPr>
            </w:r>
          </w:p>
        </w:tc>
        <w:tc>
          <w:tcPr>
            <w:tcW w:w="4394" w:type="dxa"/>
            <w:tcBorders>
              <w:left w:val="nil"/>
              <w:bottom w:val="nil"/>
              <w:right w:val="nil"/>
            </w:tcBorders>
            <w:shd w:fill="auto" w:val="clear"/>
          </w:tcPr>
          <w:p>
            <w:pPr>
              <w:pStyle w:val="Normal"/>
              <w:tabs>
                <w:tab w:val="clear" w:pos="720"/>
                <w:tab w:val="left" w:pos="1440" w:leader="none"/>
              </w:tabs>
              <w:snapToGrid w:val="false"/>
              <w:spacing w:lineRule="auto" w:line="360"/>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20"/>
          <w:tab w:val="left" w:pos="1440" w:leader="none"/>
        </w:tabs>
        <w:snapToGrid w:val="false"/>
        <w:spacing w:lineRule="auto" w:line="360"/>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246" w:type="dxa"/>
        <w:tblCellMar>
          <w:top w:w="0" w:type="dxa"/>
          <w:left w:w="113"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shd w:fill="auto" w:val="clear"/>
            <w:vAlign w:val="center"/>
          </w:tcPr>
          <w:p>
            <w:pPr>
              <w:pStyle w:val="Normal"/>
              <w:tabs>
                <w:tab w:val="clear" w:pos="720"/>
                <w:tab w:val="left" w:pos="1440" w:leader="none"/>
              </w:tabs>
              <w:snapToGrid w:val="false"/>
              <w:spacing w:lineRule="auto" w:line="360"/>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tcBorders>
            <w:shd w:fill="auto" w:val="clear"/>
            <w:vAlign w:val="bottom"/>
          </w:tcPr>
          <w:p>
            <w:pPr>
              <w:pStyle w:val="Normal"/>
              <w:tabs>
                <w:tab w:val="clear" w:pos="720"/>
                <w:tab w:val="left" w:pos="1440" w:leader="none"/>
              </w:tabs>
              <w:snapToGrid w:val="false"/>
              <w:spacing w:lineRule="auto" w:line="360"/>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tcBorders>
            <w:shd w:fill="auto" w:val="clear"/>
          </w:tcPr>
          <w:p>
            <w:pPr>
              <w:pStyle w:val="Normal"/>
              <w:tabs>
                <w:tab w:val="clear" w:pos="720"/>
                <w:tab w:val="left" w:pos="1440" w:leader="none"/>
              </w:tabs>
              <w:snapToGrid w:val="false"/>
              <w:spacing w:lineRule="auto" w:line="36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shd w:fill="auto" w:val="clear"/>
          </w:tcPr>
          <w:p>
            <w:pPr>
              <w:pStyle w:val="Normal"/>
              <w:tabs>
                <w:tab w:val="clear" w:pos="720"/>
                <w:tab w:val="left" w:pos="1440" w:leader="none"/>
              </w:tabs>
              <w:snapToGrid w:val="false"/>
              <w:spacing w:lineRule="auto" w:line="360"/>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clear" w:pos="720"/>
          <w:tab w:val="left" w:pos="1440" w:leader="none"/>
        </w:tabs>
        <w:snapToGrid w:val="false"/>
        <w:spacing w:lineRule="auto" w:line="360"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bCs/>
          <w:sz w:val="20"/>
          <w:szCs w:val="20"/>
        </w:rPr>
        <w:t xml:space="preserve">11.3.4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7%</w:t>
      </w:r>
      <w:r>
        <w:rPr>
          <w:rFonts w:cs="Arial" w:ascii="Arial" w:hAnsi="Arial"/>
          <w:color w:val="000000"/>
          <w:sz w:val="20"/>
          <w:szCs w:val="20"/>
          <w:lang w:eastAsia="en-US"/>
        </w:rPr>
        <w:t xml:space="preserve"> (sete por cento)</w:t>
      </w:r>
      <w:r>
        <w:rPr>
          <w:rFonts w:cs="Arial" w:ascii="Arial" w:hAnsi="Arial"/>
          <w:bCs/>
          <w:color w:val="000000"/>
          <w:sz w:val="20"/>
          <w:szCs w:val="20"/>
        </w:rPr>
        <w:t xml:space="preserve"> d</w:t>
      </w:r>
      <w:r>
        <w:rPr>
          <w:rFonts w:cs="Arial" w:ascii="Arial" w:hAnsi="Arial"/>
          <w:bCs/>
          <w:sz w:val="20"/>
          <w:szCs w:val="20"/>
        </w:rPr>
        <w:t>o valor estimado da contratação ou do item pertinente</w:t>
      </w:r>
      <w:r>
        <w:rPr>
          <w:rFonts w:cs="Arial" w:ascii="Arial" w:hAnsi="Arial"/>
          <w:sz w:val="20"/>
          <w:szCs w:val="20"/>
          <w:lang w:eastAsia="en-US"/>
        </w:rPr>
        <w:t xml:space="preserve">. </w:t>
      </w:r>
    </w:p>
    <w:p>
      <w:pPr>
        <w:pStyle w:val="ListParagraph"/>
        <w:numPr>
          <w:ilvl w:val="0"/>
          <w:numId w:val="0"/>
        </w:numPr>
        <w:spacing w:lineRule="auto" w:line="360" w:before="120" w:after="120"/>
        <w:ind w:left="0" w:hanging="0"/>
        <w:contextualSpacing/>
        <w:jc w:val="both"/>
        <w:rPr/>
      </w:pPr>
      <w:r>
        <w:rPr>
          <w:rFonts w:cs="Arial" w:ascii="Arial" w:hAnsi="Arial"/>
          <w:b/>
          <w:color w:val="000000"/>
          <w:sz w:val="20"/>
          <w:szCs w:val="20"/>
        </w:rPr>
        <w:t>11.4 Qualificação</w:t>
      </w:r>
      <w:r>
        <w:rPr>
          <w:rFonts w:cs="Arial" w:ascii="Arial" w:hAnsi="Arial"/>
          <w:b/>
          <w:bCs/>
          <w:iCs/>
          <w:color w:val="000000"/>
          <w:sz w:val="20"/>
          <w:szCs w:val="20"/>
        </w:rPr>
        <w:t xml:space="preserve"> Técnica  </w:t>
      </w:r>
    </w:p>
    <w:p>
      <w:pPr>
        <w:pStyle w:val="ListParagraph"/>
        <w:widowControl/>
        <w:numPr>
          <w:ilvl w:val="0"/>
          <w:numId w:val="0"/>
        </w:numPr>
        <w:tabs>
          <w:tab w:val="clear" w:pos="720"/>
          <w:tab w:val="left" w:pos="1440" w:leader="none"/>
        </w:tabs>
        <w:suppressAutoHyphens w:val="false"/>
        <w:bidi w:val="0"/>
        <w:snapToGrid w:val="false"/>
        <w:spacing w:lineRule="auto" w:line="360" w:before="120" w:after="120"/>
        <w:ind w:left="1638"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tabs>
          <w:tab w:val="clear" w:pos="720"/>
          <w:tab w:val="left" w:pos="1440" w:leader="none"/>
        </w:tabs>
        <w:suppressAutoHyphens w:val="false"/>
        <w:bidi w:val="0"/>
        <w:snapToGrid w:val="false"/>
        <w:spacing w:lineRule="auto" w:line="360" w:before="120" w:after="120"/>
        <w:ind w:left="720" w:right="0" w:hanging="0"/>
        <w:contextualSpacing/>
        <w:jc w:val="both"/>
        <w:rPr/>
      </w:pPr>
      <w:r>
        <w:rPr>
          <w:rFonts w:cs="Arial" w:ascii="Arial" w:hAnsi="Arial"/>
          <w:color w:val="000000"/>
          <w:sz w:val="20"/>
          <w:szCs w:val="20"/>
        </w:rPr>
        <w:t>11.4.1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widowControl/>
        <w:tabs>
          <w:tab w:val="clear" w:pos="720"/>
          <w:tab w:val="left" w:pos="1440" w:leader="none"/>
        </w:tabs>
        <w:suppressAutoHyphens w:val="false"/>
        <w:bidi w:val="0"/>
        <w:snapToGrid w:val="false"/>
        <w:spacing w:lineRule="auto" w:line="360" w:before="348" w:after="348"/>
        <w:ind w:left="720" w:right="0" w:hanging="57"/>
        <w:contextualSpacing/>
        <w:jc w:val="both"/>
        <w:rPr/>
      </w:pPr>
      <w:r>
        <w:rPr>
          <w:rFonts w:cs="Arial" w:ascii="Arial" w:hAnsi="Arial"/>
          <w:bCs/>
          <w:color w:val="000000"/>
          <w:sz w:val="20"/>
          <w:szCs w:val="20"/>
        </w:rPr>
        <w:t xml:space="preserve">11.4.2 </w:t>
      </w: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numPr>
          <w:ilvl w:val="0"/>
          <w:numId w:val="0"/>
        </w:numPr>
        <w:tabs>
          <w:tab w:val="clear" w:pos="720"/>
          <w:tab w:val="left" w:pos="1440" w:leader="none"/>
        </w:tabs>
        <w:suppressAutoHyphens w:val="false"/>
        <w:bidi w:val="0"/>
        <w:snapToGrid w:val="false"/>
        <w:spacing w:lineRule="auto" w:line="360" w:before="120" w:after="120"/>
        <w:ind w:left="720" w:right="0" w:hanging="0"/>
        <w:contextualSpacing/>
        <w:jc w:val="both"/>
        <w:rPr/>
      </w:pPr>
      <w:r>
        <w:rPr>
          <w:rFonts w:cs="Arial" w:ascii="Arial" w:hAnsi="Arial"/>
          <w:bCs/>
          <w:color w:val="000000"/>
          <w:sz w:val="20"/>
          <w:szCs w:val="20"/>
        </w:rPr>
        <w:t>11.4.3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0"/>
          <w:numId w:val="0"/>
        </w:numPr>
        <w:spacing w:lineRule="auto" w:line="360"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t>11.4.3.1 A declaração do vencedor acontecerá no momento imediatamente posterior à fase de habilitação.</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sz w:val="20"/>
          <w:szCs w:val="20"/>
        </w:rPr>
        <w:t xml:space="preserve">11.4.4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360" w:before="120" w:after="120"/>
        <w:ind w:left="720" w:hanging="0"/>
        <w:contextualSpacing/>
        <w:jc w:val="both"/>
        <w:rPr>
          <w:rFonts w:ascii="Arial" w:hAnsi="Arial" w:cs="Arial"/>
          <w:bCs/>
          <w:color w:val="000000"/>
          <w:sz w:val="20"/>
          <w:szCs w:val="20"/>
        </w:rPr>
      </w:pPr>
      <w:r>
        <w:rPr>
          <w:rFonts w:cs="Arial" w:ascii="Arial" w:hAnsi="Arial"/>
          <w:bCs/>
          <w:color w:val="000000"/>
          <w:sz w:val="20"/>
          <w:szCs w:val="20"/>
        </w:rPr>
        <w:t>11.4.5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11.4.6 Havendo necessidade de analisar minuciosamente os documentos exigidos, o Pregoeiro suspenderá a sessão, informando no “chat” a nova data e horário para a continuidade da mesma.</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11.4.7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11.4.8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11.4.9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11.4.10 Não havendo a comprovação cumulativa dos requisitos de habilitação, a inabilitação recairá sobre o(s) item(ns) de menor(es) valor(es) cuja retirada(s) seja(m) suficiente(s) para a habilitação do licitante nos remanescentes.</w:t>
      </w:r>
    </w:p>
    <w:p>
      <w:pPr>
        <w:pStyle w:val="ListParagraph"/>
        <w:numPr>
          <w:ilvl w:val="0"/>
          <w:numId w:val="0"/>
        </w:numPr>
        <w:spacing w:lineRule="auto" w:line="360" w:before="120" w:after="120"/>
        <w:ind w:left="720" w:hanging="0"/>
        <w:contextualSpacing/>
        <w:jc w:val="both"/>
        <w:rPr/>
      </w:pPr>
      <w:r>
        <w:rPr>
          <w:rFonts w:cs="Arial" w:ascii="Arial" w:hAnsi="Arial"/>
          <w:color w:val="000000"/>
          <w:sz w:val="20"/>
          <w:szCs w:val="20"/>
        </w:rPr>
        <w:t>11.4.11 Constatado o atendimento às exigências de habilitação fixadas no Edital, o licitante será declarado vencedor.</w:t>
      </w:r>
    </w:p>
    <w:p>
      <w:pPr>
        <w:pStyle w:val="Nivel01"/>
        <w:keepNext w:val="true"/>
        <w:keepLines/>
        <w:widowControl/>
        <w:numPr>
          <w:ilvl w:val="0"/>
          <w:numId w:val="0"/>
        </w:numPr>
        <w:suppressAutoHyphens w:val="false"/>
        <w:bidi w:val="0"/>
        <w:spacing w:lineRule="auto" w:line="360" w:before="240" w:after="0"/>
        <w:ind w:left="587" w:right="0" w:hanging="0"/>
        <w:jc w:val="both"/>
        <w:rPr>
          <w:i w:val="false"/>
          <w:i w:val="false"/>
          <w:iCs w:val="false"/>
        </w:rPr>
      </w:pPr>
      <w:r>
        <w:rPr>
          <w:rFonts w:cs="Arial" w:ascii="Arial" w:hAnsi="Arial"/>
          <w:i w:val="false"/>
          <w:iCs w:val="false"/>
          <w:color w:val="00000A"/>
          <w:lang w:eastAsia="en-US"/>
        </w:rPr>
        <w:t xml:space="preserve">12 DO </w:t>
      </w:r>
      <w:r>
        <w:rPr>
          <w:rFonts w:cs="Arial" w:ascii="Arial" w:hAnsi="Arial"/>
          <w:i w:val="false"/>
          <w:iCs w:val="false"/>
          <w:color w:val="00000A"/>
        </w:rPr>
        <w:t>ENCAMINHAMENTO</w:t>
      </w:r>
      <w:r>
        <w:rPr>
          <w:rFonts w:cs="Arial" w:ascii="Arial" w:hAnsi="Arial"/>
          <w:i w:val="false"/>
          <w:iCs w:val="false"/>
          <w:color w:val="00000A"/>
          <w:lang w:eastAsia="en-US"/>
        </w:rPr>
        <w:t xml:space="preserve"> DA PROPOSTA VENCEDORA</w:t>
      </w:r>
    </w:p>
    <w:p>
      <w:pPr>
        <w:pStyle w:val="ListParagraph"/>
        <w:numPr>
          <w:ilvl w:val="0"/>
          <w:numId w:val="0"/>
        </w:numPr>
        <w:spacing w:lineRule="auto" w:line="360" w:before="120" w:after="120"/>
        <w:ind w:left="720" w:hanging="0"/>
        <w:contextualSpacing/>
        <w:jc w:val="both"/>
        <w:rPr>
          <w:i w:val="false"/>
          <w:i w:val="false"/>
          <w:iCs w:val="false"/>
        </w:rPr>
      </w:pPr>
      <w:r>
        <w:rPr>
          <w:rFonts w:cs="Arial" w:ascii="Arial" w:hAnsi="Arial"/>
          <w:i w:val="false"/>
          <w:iCs w:val="false"/>
          <w:color w:val="000000"/>
          <w:sz w:val="20"/>
          <w:szCs w:val="20"/>
        </w:rPr>
        <w:t>12.1 A proposta final do licitante declarado vencedor deverá ser encaminhada no prazo de 02</w:t>
      </w:r>
      <w:r>
        <w:rPr>
          <w:rFonts w:cs="Arial" w:ascii="Arial" w:hAnsi="Arial"/>
          <w:bCs/>
          <w:i w:val="false"/>
          <w:iCs w:val="false"/>
          <w:color w:val="000000"/>
          <w:sz w:val="20"/>
          <w:szCs w:val="20"/>
        </w:rPr>
        <w:t xml:space="preserve"> (duas) horas</w:t>
      </w:r>
      <w:r>
        <w:rPr>
          <w:rFonts w:cs="Arial" w:ascii="Arial" w:hAnsi="Arial"/>
          <w:i w:val="false"/>
          <w:iCs w:val="false"/>
          <w:color w:val="000000"/>
          <w:sz w:val="20"/>
          <w:szCs w:val="20"/>
        </w:rPr>
        <w:t>,</w:t>
      </w:r>
      <w:r>
        <w:rPr>
          <w:rFonts w:cs="Arial" w:ascii="Arial" w:hAnsi="Arial"/>
          <w:b/>
          <w:bCs/>
          <w:i w:val="false"/>
          <w:iCs w:val="false"/>
          <w:color w:val="000000" w:themeTint="66"/>
          <w:sz w:val="20"/>
          <w:szCs w:val="20"/>
        </w:rPr>
        <w:t xml:space="preserve"> </w:t>
      </w:r>
      <w:r>
        <w:rPr>
          <w:rFonts w:cs="Arial" w:ascii="Arial" w:hAnsi="Arial"/>
          <w:i w:val="false"/>
          <w:iCs w:val="false"/>
          <w:color w:val="000000"/>
          <w:sz w:val="20"/>
          <w:szCs w:val="20"/>
        </w:rPr>
        <w:t>a contar da solicitação do Pregoeiro no sistema eletrônico e deverá:</w:t>
      </w:r>
    </w:p>
    <w:p>
      <w:pPr>
        <w:pStyle w:val="Normal"/>
        <w:numPr>
          <w:ilvl w:val="0"/>
          <w:numId w:val="0"/>
        </w:numPr>
        <w:spacing w:lineRule="auto" w:line="360" w:before="120" w:after="120"/>
        <w:ind w:left="1440" w:hanging="0"/>
        <w:jc w:val="both"/>
        <w:rPr>
          <w:i w:val="false"/>
          <w:i w:val="false"/>
          <w:iCs w:val="false"/>
        </w:rPr>
      </w:pPr>
      <w:r>
        <w:rPr>
          <w:rFonts w:cs="Arial" w:ascii="Arial" w:hAnsi="Arial"/>
          <w:i w:val="false"/>
          <w:iCs w:val="false"/>
          <w:color w:val="000000"/>
          <w:sz w:val="20"/>
          <w:szCs w:val="20"/>
        </w:rPr>
        <w:t>12.1.1 ser redigida em língua portuguesa, datilografada ou digitada, em uma via, sem emendas, rasuras, entrelinhas ou ressalvas, devendo a última folha ser assinada e as demais rubricadas pelo licitante ou seu representante legal.</w:t>
      </w:r>
    </w:p>
    <w:p>
      <w:pPr>
        <w:pStyle w:val="Normal"/>
        <w:numPr>
          <w:ilvl w:val="0"/>
          <w:numId w:val="0"/>
        </w:numPr>
        <w:spacing w:lineRule="auto" w:line="360" w:before="120" w:after="120"/>
        <w:ind w:left="1440" w:hanging="0"/>
        <w:jc w:val="both"/>
        <w:rPr>
          <w:rFonts w:ascii="Arial" w:hAnsi="Arial" w:eastAsia="" w:cs="Arial" w:eastAsiaTheme="minorEastAsia"/>
          <w:i w:val="false"/>
          <w:i w:val="false"/>
          <w:iCs w:val="false"/>
          <w:color w:val="00000A"/>
          <w:kern w:val="0"/>
          <w:sz w:val="20"/>
          <w:szCs w:val="20"/>
          <w:lang w:val="pt-BR" w:eastAsia="pt-BR" w:bidi="ar-SA"/>
        </w:rPr>
      </w:pPr>
      <w:r>
        <w:rPr>
          <w:rFonts w:eastAsia="" w:cs="Arial" w:ascii="Arial" w:hAnsi="Arial" w:eastAsiaTheme="minorEastAsia"/>
          <w:i w:val="false"/>
          <w:iCs w:val="false"/>
          <w:color w:val="00000A"/>
          <w:kern w:val="0"/>
          <w:sz w:val="20"/>
          <w:szCs w:val="20"/>
          <w:lang w:val="pt-BR" w:eastAsia="pt-BR" w:bidi="ar-SA"/>
        </w:rPr>
        <w:t>12.1.2 conter a indicação do banco, número da conta e agência do licitante vencedor, para fins de pagamento.</w:t>
      </w:r>
    </w:p>
    <w:p>
      <w:pPr>
        <w:pStyle w:val="ListParagraph"/>
        <w:numPr>
          <w:ilvl w:val="0"/>
          <w:numId w:val="0"/>
        </w:numPr>
        <w:spacing w:lineRule="auto" w:line="360" w:before="120" w:after="120"/>
        <w:ind w:left="0" w:hanging="0"/>
        <w:contextualSpacing/>
        <w:jc w:val="both"/>
        <w:rPr>
          <w:rFonts w:ascii="Arial" w:hAnsi="Arial" w:eastAsia="" w:cs="Arial" w:eastAsiaTheme="minorEastAsia"/>
          <w:i w:val="false"/>
          <w:i w:val="false"/>
          <w:iCs w:val="false"/>
          <w:color w:val="00000A"/>
          <w:kern w:val="0"/>
          <w:sz w:val="20"/>
          <w:szCs w:val="20"/>
          <w:lang w:val="pt-BR" w:eastAsia="pt-BR" w:bidi="ar-SA"/>
        </w:rPr>
      </w:pPr>
      <w:r>
        <w:rPr>
          <w:rFonts w:eastAsia="" w:cs="Arial" w:ascii="Arial" w:hAnsi="Arial" w:eastAsiaTheme="minorEastAsia"/>
          <w:i w:val="false"/>
          <w:iCs w:val="false"/>
          <w:color w:val="00000A"/>
          <w:kern w:val="0"/>
          <w:sz w:val="20"/>
          <w:szCs w:val="20"/>
          <w:lang w:val="pt-BR" w:eastAsia="pt-BR" w:bidi="ar-SA"/>
        </w:rPr>
        <w:t>12.2 A proposta final deverá ser documentada nos autos e será levada em consideração no decorrer da execução do contrato e aplicação de eventual sanção à Contratada, se for o caso.</w:t>
      </w:r>
    </w:p>
    <w:p>
      <w:pPr>
        <w:pStyle w:val="Normal"/>
        <w:numPr>
          <w:ilvl w:val="0"/>
          <w:numId w:val="0"/>
        </w:numPr>
        <w:spacing w:lineRule="auto" w:line="360" w:before="120" w:after="120"/>
        <w:ind w:left="720" w:hanging="0"/>
        <w:jc w:val="both"/>
        <w:rPr>
          <w:rFonts w:ascii="Arial" w:hAnsi="Arial" w:eastAsia="" w:cs="Arial" w:eastAsiaTheme="minorEastAsia"/>
          <w:i w:val="false"/>
          <w:i w:val="false"/>
          <w:iCs w:val="false"/>
          <w:color w:val="00000A"/>
          <w:kern w:val="0"/>
          <w:sz w:val="20"/>
          <w:szCs w:val="20"/>
          <w:lang w:val="pt-BR" w:eastAsia="pt-BR" w:bidi="ar-SA"/>
        </w:rPr>
      </w:pPr>
      <w:r>
        <w:rPr>
          <w:rFonts w:eastAsia="" w:cs="Arial" w:ascii="Arial" w:hAnsi="Arial" w:eastAsiaTheme="minorEastAsia"/>
          <w:i w:val="false"/>
          <w:iCs w:val="false"/>
          <w:color w:val="00000A"/>
          <w:kern w:val="0"/>
          <w:sz w:val="20"/>
          <w:szCs w:val="20"/>
          <w:lang w:val="pt-BR" w:eastAsia="pt-BR" w:bidi="ar-SA"/>
        </w:rPr>
        <w:t>12.2.1 Todas as especificações do objeto contidas na proposta, tais como marca, modelo, tipo, fabricante e procedência, vinculam a Contratada.</w:t>
      </w:r>
    </w:p>
    <w:p>
      <w:pPr>
        <w:pStyle w:val="ListParagraph"/>
        <w:numPr>
          <w:ilvl w:val="0"/>
          <w:numId w:val="0"/>
        </w:numPr>
        <w:spacing w:lineRule="auto" w:line="360" w:before="120" w:after="120"/>
        <w:ind w:left="0" w:hanging="0"/>
        <w:contextualSpacing/>
        <w:jc w:val="both"/>
        <w:rPr/>
      </w:pPr>
      <w:r>
        <w:rPr>
          <w:rFonts w:eastAsia="" w:cs="Arial" w:ascii="Arial" w:hAnsi="Arial"/>
          <w:i w:val="false"/>
          <w:iCs w:val="false"/>
          <w:color w:val="000000"/>
          <w:kern w:val="0"/>
          <w:sz w:val="20"/>
          <w:szCs w:val="20"/>
          <w:lang w:val="pt-BR" w:eastAsia="pt-BR" w:bidi="ar-SA"/>
        </w:rPr>
        <w:t>12.3</w:t>
      </w:r>
      <w:r>
        <w:rPr>
          <w:rFonts w:cs="Arial" w:ascii="Arial" w:hAnsi="Arial"/>
          <w:i/>
          <w:color w:val="FF0000"/>
          <w:sz w:val="20"/>
          <w:szCs w:val="20"/>
        </w:rPr>
        <w:t xml:space="preserve"> </w:t>
      </w: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numPr>
          <w:ilvl w:val="0"/>
          <w:numId w:val="0"/>
        </w:numPr>
        <w:spacing w:lineRule="auto" w:line="360" w:before="120" w:after="120"/>
        <w:ind w:left="720" w:hanging="0"/>
        <w:jc w:val="both"/>
        <w:rPr>
          <w:rFonts w:ascii="Arial" w:hAnsi="Arial" w:cs="Arial"/>
          <w:sz w:val="20"/>
          <w:szCs w:val="20"/>
        </w:rPr>
      </w:pPr>
      <w:r>
        <w:rPr>
          <w:rFonts w:cs="Arial" w:ascii="Arial" w:hAnsi="Arial"/>
          <w:sz w:val="20"/>
          <w:szCs w:val="20"/>
        </w:rPr>
        <w:t>12.3.1 Ocorrendo divergência entre os preços unitários e o preço global, prevalecerão os primeiros; no caso de divergência entre os valores numéricos e os valores expressos por extenso, prevalecerão estes últimos.</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12.4 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sz w:val="20"/>
          <w:szCs w:val="20"/>
        </w:rPr>
        <w:t>12.5 A proposta deverá obedecer aos termos deste Edital e seus Anexos, não sendo considerada aquela que não corresponda às especificações ali contidas ou que estabeleça vínculo à proposta de outro licitante.</w:t>
      </w:r>
    </w:p>
    <w:p>
      <w:pPr>
        <w:pStyle w:val="ListParagraph"/>
        <w:numPr>
          <w:ilvl w:val="0"/>
          <w:numId w:val="0"/>
        </w:numPr>
        <w:spacing w:lineRule="auto" w:line="360" w:before="120" w:after="120"/>
        <w:ind w:left="0" w:hanging="0"/>
        <w:contextualSpacing/>
        <w:jc w:val="both"/>
        <w:rPr>
          <w:rFonts w:ascii="Arial" w:hAnsi="Arial" w:cs="Arial"/>
          <w:sz w:val="20"/>
          <w:szCs w:val="20"/>
        </w:rPr>
      </w:pPr>
      <w:r>
        <w:rPr>
          <w:rFonts w:cs="Arial" w:ascii="Arial" w:hAnsi="Arial"/>
          <w:color w:val="000000"/>
          <w:sz w:val="20"/>
          <w:szCs w:val="20"/>
        </w:rPr>
        <w:t>12.6 As propostas que contenham a descrição do objeto, o valor e os documentos complementares estarão disponíveis na internet, após a homologação.</w:t>
      </w:r>
    </w:p>
    <w:p>
      <w:pPr>
        <w:pStyle w:val="ListParagraph"/>
        <w:spacing w:lineRule="auto" w:line="360"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spacing w:lineRule="auto" w:line="360"/>
        <w:ind w:left="0" w:hanging="0"/>
        <w:rPr>
          <w:rFonts w:ascii="Arial" w:hAnsi="Arial" w:cs="Arial"/>
          <w:lang w:eastAsia="en-US"/>
        </w:rPr>
      </w:pPr>
      <w:r>
        <w:rPr>
          <w:rFonts w:cs="Arial" w:ascii="Arial" w:hAnsi="Arial"/>
          <w:lang w:eastAsia="en-US"/>
        </w:rPr>
        <w:t>13. DOS RECURSOS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lang w:eastAsia="en-US"/>
        </w:rPr>
        <w:t>13.1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13.2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rPr>
      </w:pPr>
      <w:r>
        <w:rPr>
          <w:rFonts w:cs="Arial" w:ascii="Arial" w:hAnsi="Arial"/>
          <w:color w:val="000000"/>
          <w:sz w:val="20"/>
          <w:szCs w:val="20"/>
        </w:rPr>
        <w:t>13.2.1 Nesse momento o Pregoeiro não adentrará no mérito recursal, mas apenas verificará as condições de admissibilidade do recurso.</w:t>
      </w:r>
    </w:p>
    <w:p>
      <w:pPr>
        <w:pStyle w:val="Normal"/>
        <w:numPr>
          <w:ilvl w:val="0"/>
          <w:numId w:val="0"/>
        </w:numPr>
        <w:tabs>
          <w:tab w:val="clear" w:pos="720"/>
          <w:tab w:val="left" w:pos="1440" w:leader="none"/>
        </w:tabs>
        <w:snapToGrid w:val="false"/>
        <w:spacing w:lineRule="auto" w:line="360" w:before="120" w:after="120"/>
        <w:ind w:left="720" w:hanging="0"/>
        <w:jc w:val="both"/>
        <w:rPr/>
      </w:pPr>
      <w:r>
        <w:rPr>
          <w:rFonts w:cs="Arial" w:ascii="Arial" w:hAnsi="Arial"/>
          <w:sz w:val="20"/>
          <w:szCs w:val="20"/>
        </w:rPr>
        <w:t>13.2.2 A falta de manifestação motivada do licitante quanto à intenção de recorrer importará a decadência desse direito.</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color w:val="000000"/>
          <w:sz w:val="20"/>
          <w:szCs w:val="20"/>
        </w:rPr>
      </w:pPr>
      <w:r>
        <w:rPr>
          <w:rFonts w:cs="Arial" w:ascii="Arial" w:hAnsi="Arial"/>
          <w:sz w:val="20"/>
          <w:szCs w:val="20"/>
        </w:rPr>
        <w:t xml:space="preserve">13.2.3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 xml:space="preserve">13.3 O acolhimento do recurso invalida tão somente os atos insuscetíveis de aproveitamento. </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13.4 Os autos do processo permanecerão com vista franqueada aos interessados, no endereço constante neste Edital.</w:t>
      </w:r>
    </w:p>
    <w:p>
      <w:pPr>
        <w:pStyle w:val="Nivel01"/>
        <w:numPr>
          <w:ilvl w:val="0"/>
          <w:numId w:val="0"/>
        </w:numPr>
        <w:spacing w:lineRule="auto" w:line="360"/>
        <w:ind w:left="0" w:hanging="0"/>
        <w:rPr>
          <w:rFonts w:ascii="Arial" w:hAnsi="Arial" w:cs="Arial"/>
          <w:lang w:eastAsia="en-US"/>
        </w:rPr>
      </w:pPr>
      <w:r>
        <w:rPr>
          <w:rFonts w:cs="Arial" w:ascii="Arial" w:hAnsi="Arial"/>
          <w:lang w:eastAsia="en-US"/>
        </w:rPr>
        <w:t>14. DA REABERTURA DA SESSÃO PÚBLICA</w:t>
      </w:r>
    </w:p>
    <w:p>
      <w:pPr>
        <w:pStyle w:val="Nivel01"/>
        <w:keepNext w:val="true"/>
        <w:keepLines w:val="false"/>
        <w:numPr>
          <w:ilvl w:val="0"/>
          <w:numId w:val="0"/>
        </w:numPr>
        <w:spacing w:lineRule="auto" w:line="360" w:before="120" w:after="120"/>
        <w:ind w:left="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14.1 A sessão pública poderá ser reaberta:</w:t>
      </w:r>
    </w:p>
    <w:p>
      <w:pPr>
        <w:pStyle w:val="Nivel01"/>
        <w:keepNext w:val="true"/>
        <w:keepLines w:val="false"/>
        <w:numPr>
          <w:ilvl w:val="0"/>
          <w:numId w:val="0"/>
        </w:numPr>
        <w:spacing w:lineRule="auto" w:line="360" w:before="120" w:after="120"/>
        <w:ind w:left="72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14.1.1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true"/>
        <w:keepLines w:val="false"/>
        <w:numPr>
          <w:ilvl w:val="0"/>
          <w:numId w:val="0"/>
        </w:numPr>
        <w:spacing w:lineRule="auto" w:line="360" w:before="120" w:after="120"/>
        <w:ind w:left="72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14.1.2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true"/>
        <w:keepLines w:val="false"/>
        <w:numPr>
          <w:ilvl w:val="0"/>
          <w:numId w:val="0"/>
        </w:numPr>
        <w:spacing w:lineRule="auto" w:line="360" w:before="120" w:after="120"/>
        <w:ind w:left="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14.2 Todos os licitantes remanescentes deverão ser convocados para acompanhar a sessão reaberta.</w:t>
      </w:r>
    </w:p>
    <w:p>
      <w:pPr>
        <w:pStyle w:val="Nivel01"/>
        <w:keepNext w:val="true"/>
        <w:keepLines w:val="false"/>
        <w:numPr>
          <w:ilvl w:val="0"/>
          <w:numId w:val="0"/>
        </w:numPr>
        <w:spacing w:lineRule="auto" w:line="360" w:before="120" w:after="120"/>
        <w:ind w:left="72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14.2.1 A convocação se dará por meio do sistema eletrônico (“chat”), e-mail, de acordo com a fase do procedimento licitatório.</w:t>
      </w:r>
    </w:p>
    <w:p>
      <w:pPr>
        <w:pStyle w:val="Nivel01"/>
        <w:keepNext w:val="true"/>
        <w:keepLines w:val="false"/>
        <w:numPr>
          <w:ilvl w:val="0"/>
          <w:numId w:val="0"/>
        </w:numPr>
        <w:spacing w:lineRule="auto" w:line="360" w:before="120" w:after="120"/>
        <w:ind w:left="720"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14.2.2 A convocação feita por e-mail dar-se-á de acordo com os dados contidos no SICAF, sendo responsabilidade do licitante manter seus dados cadastrais atualizados.</w:t>
      </w:r>
    </w:p>
    <w:p>
      <w:pPr>
        <w:pStyle w:val="Nivel01"/>
        <w:keepNext w:val="true"/>
        <w:keepLines/>
        <w:widowControl/>
        <w:numPr>
          <w:ilvl w:val="0"/>
          <w:numId w:val="0"/>
        </w:numPr>
        <w:suppressAutoHyphens w:val="false"/>
        <w:bidi w:val="0"/>
        <w:spacing w:lineRule="auto" w:line="360" w:before="240" w:after="0"/>
        <w:ind w:left="0" w:right="0" w:hanging="0"/>
        <w:jc w:val="both"/>
        <w:rPr>
          <w:rFonts w:ascii="Arial" w:hAnsi="Arial" w:cs="Arial"/>
        </w:rPr>
      </w:pPr>
      <w:r>
        <w:rPr>
          <w:rFonts w:cs="Arial" w:ascii="Arial" w:hAnsi="Arial"/>
        </w:rPr>
        <w:t xml:space="preserve">15. DA ADJUDICAÇÃO E HOMOLOGAÇÃO </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15.1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 xml:space="preserve">15.2 Após a fase recursal, constatada a regularidade dos atos praticados, a autoridade competente homologará o procedimento licitatório. </w:t>
      </w:r>
    </w:p>
    <w:p>
      <w:pPr>
        <w:pStyle w:val="Nivel01"/>
        <w:numPr>
          <w:ilvl w:val="0"/>
          <w:numId w:val="0"/>
        </w:numPr>
        <w:spacing w:lineRule="auto" w:line="360"/>
        <w:ind w:left="0" w:hanging="0"/>
        <w:rPr>
          <w:rFonts w:ascii="Arial" w:hAnsi="Arial" w:cs="Arial"/>
          <w:color w:val="00000A"/>
        </w:rPr>
      </w:pPr>
      <w:r>
        <w:rPr>
          <w:rFonts w:cs="Arial" w:ascii="Arial" w:hAnsi="Arial"/>
          <w:color w:val="00000A"/>
        </w:rPr>
        <w:t xml:space="preserve">16. DA GARANTIA DE EXECUÇÃO </w:t>
      </w:r>
    </w:p>
    <w:p>
      <w:pPr>
        <w:pStyle w:val="ListParagraph"/>
        <w:widowControl/>
        <w:suppressAutoHyphens w:val="false"/>
        <w:bidi w:val="0"/>
        <w:spacing w:lineRule="auto" w:line="360" w:before="120" w:after="120"/>
        <w:ind w:left="0" w:right="0" w:hanging="0"/>
        <w:contextualSpacing/>
        <w:jc w:val="both"/>
        <w:rPr>
          <w:b w:val="false"/>
          <w:b w:val="false"/>
          <w:bCs w:val="false"/>
          <w:u w:val="none"/>
        </w:rPr>
      </w:pPr>
      <w:r>
        <w:rPr>
          <w:rFonts w:eastAsia="" w:cs="Arial" w:ascii="Arial" w:hAnsi="Arial"/>
          <w:b w:val="false"/>
          <w:bCs w:val="false"/>
          <w:color w:val="000000"/>
          <w:kern w:val="0"/>
          <w:sz w:val="20"/>
          <w:szCs w:val="20"/>
          <w:u w:val="none"/>
          <w:lang w:val="pt-BR" w:eastAsia="pt-BR" w:bidi="ar-SA"/>
        </w:rPr>
        <w:t xml:space="preserve">16.1 </w:t>
      </w:r>
      <w:r>
        <w:rPr>
          <w:rFonts w:eastAsia="" w:cs="Arial" w:ascii="Arial" w:hAnsi="Arial"/>
          <w:b w:val="false"/>
          <w:bCs w:val="false"/>
          <w:i w:val="false"/>
          <w:iCs w:val="false"/>
          <w:color w:val="000000"/>
          <w:kern w:val="0"/>
          <w:sz w:val="20"/>
          <w:szCs w:val="20"/>
          <w:u w:val="none"/>
          <w:lang w:val="pt-BR" w:eastAsia="pt-BR" w:bidi="ar-SA"/>
        </w:rPr>
        <w:t>Não haverá exigência de garantia de execução para a presente contratação pelo seguinte motivo:</w:t>
      </w:r>
    </w:p>
    <w:p>
      <w:pPr>
        <w:pStyle w:val="Normal"/>
        <w:ind w:left="720" w:hanging="0"/>
        <w:rPr>
          <w:rFonts w:ascii="Arial" w:hAnsi="Arial" w:eastAsia="" w:cs="Arial"/>
          <w:color w:val="000000"/>
          <w:kern w:val="0"/>
          <w:sz w:val="20"/>
          <w:szCs w:val="20"/>
          <w:lang w:val="pt-BR" w:eastAsia="pt-BR" w:bidi="ar-SA"/>
        </w:rPr>
      </w:pPr>
      <w:r>
        <w:rPr>
          <w:rFonts w:eastAsia="" w:cs="Arial" w:ascii="Arial" w:hAnsi="Arial"/>
          <w:b/>
          <w:bCs/>
          <w:i w:val="false"/>
          <w:iCs w:val="false"/>
          <w:color w:val="000000"/>
          <w:kern w:val="0"/>
          <w:sz w:val="20"/>
          <w:szCs w:val="20"/>
          <w:u w:val="single"/>
          <w:lang w:val="pt-BR" w:eastAsia="pt-BR" w:bidi="ar-SA"/>
        </w:rPr>
        <w:t>16.1.1 Não será exigido garantia de execução do contrato p</w:t>
      </w:r>
      <w:r>
        <w:rPr>
          <w:rFonts w:eastAsia="" w:cs="Arial" w:ascii="Arial" w:hAnsi="Arial"/>
          <w:b/>
          <w:bCs/>
          <w:i w:val="false"/>
          <w:iCs w:val="false"/>
          <w:caps w:val="false"/>
          <w:smallCaps w:val="false"/>
          <w:color w:val="000000"/>
          <w:spacing w:val="0"/>
          <w:kern w:val="0"/>
          <w:sz w:val="20"/>
          <w:szCs w:val="20"/>
          <w:u w:val="single"/>
          <w:lang w:val="pt-BR" w:eastAsia="pt-BR" w:bidi="ar-SA"/>
        </w:rPr>
        <w:t>or se tratar de uma licitação de registro de preços, que gera apenas expectativa da aquisição do bem/material e não ter a obrigatoriedade de atingir a margem de consumo estimada (considerando tratar-se de produtos com entrega imediata e que não geram obrigações futuras).</w:t>
      </w:r>
    </w:p>
    <w:p>
      <w:pPr>
        <w:pStyle w:val="Nivel01"/>
        <w:numPr>
          <w:ilvl w:val="0"/>
          <w:numId w:val="0"/>
        </w:numPr>
        <w:ind w:left="0" w:hanging="0"/>
        <w:rPr>
          <w:rFonts w:ascii="Arial" w:hAnsi="Arial" w:eastAsia="ＭＳ 明朝" w:cs="Arial"/>
          <w:b/>
          <w:b/>
          <w:bCs/>
          <w:i w:val="false"/>
          <w:i w:val="false"/>
          <w:iCs w:val="false"/>
          <w:color w:val="000000"/>
          <w:kern w:val="0"/>
          <w:sz w:val="20"/>
          <w:szCs w:val="20"/>
          <w:lang w:val="pt-BR" w:eastAsia="pt-BR" w:bidi="ar-SA"/>
        </w:rPr>
      </w:pPr>
      <w:r>
        <w:rPr>
          <w:rFonts w:eastAsia="ＭＳ 明朝" w:cs="Arial" w:ascii="Arial" w:hAnsi="Arial"/>
          <w:b/>
          <w:bCs/>
          <w:i w:val="false"/>
          <w:iCs w:val="false"/>
          <w:color w:val="000000"/>
          <w:kern w:val="0"/>
          <w:sz w:val="20"/>
          <w:szCs w:val="20"/>
          <w:lang w:val="pt-BR" w:eastAsia="pt-BR" w:bidi="ar-SA"/>
        </w:rPr>
        <w:t xml:space="preserve">17. DA GARANTIA CONTRATUAL DOS BENS </w:t>
      </w:r>
    </w:p>
    <w:p>
      <w:pPr>
        <w:pStyle w:val="Nivel01"/>
        <w:widowControl/>
        <w:numPr>
          <w:ilvl w:val="0"/>
          <w:numId w:val="0"/>
        </w:numPr>
        <w:suppressAutoHyphens w:val="false"/>
        <w:bidi w:val="0"/>
        <w:spacing w:lineRule="auto" w:line="360" w:before="120" w:after="120"/>
        <w:ind w:left="0" w:right="0" w:hanging="0"/>
        <w:contextualSpacing/>
        <w:jc w:val="both"/>
        <w:rPr>
          <w:rFonts w:ascii="Arial" w:hAnsi="Arial" w:eastAsia="ＭＳ 明朝" w:cs="Arial"/>
          <w:b w:val="false"/>
          <w:b w:val="false"/>
          <w:i w:val="false"/>
          <w:i w:val="false"/>
          <w:iCs w:val="false"/>
          <w:color w:val="000000"/>
          <w:kern w:val="0"/>
          <w:sz w:val="20"/>
          <w:szCs w:val="20"/>
          <w:lang w:val="pt-BR" w:eastAsia="pt-BR" w:bidi="ar-SA"/>
        </w:rPr>
      </w:pPr>
      <w:r>
        <w:rPr>
          <w:rFonts w:eastAsia="ＭＳ 明朝" w:cs="Arial" w:ascii="Arial" w:hAnsi="Arial"/>
          <w:b w:val="false"/>
          <w:i w:val="false"/>
          <w:iCs w:val="false"/>
          <w:caps w:val="false"/>
          <w:smallCaps w:val="false"/>
          <w:color w:val="000000"/>
          <w:spacing w:val="0"/>
          <w:kern w:val="0"/>
          <w:sz w:val="20"/>
          <w:szCs w:val="20"/>
          <w:lang w:val="pt-BR" w:eastAsia="pt-BR" w:bidi="ar-SA"/>
        </w:rPr>
        <w:t>17.1  Não haverá exigência de garantia contratual dos bens fornecidos na presente contratação.</w:t>
      </w:r>
    </w:p>
    <w:p>
      <w:pPr>
        <w:pStyle w:val="Nivel01"/>
        <w:numPr>
          <w:ilvl w:val="0"/>
          <w:numId w:val="0"/>
        </w:numPr>
        <w:spacing w:lineRule="auto" w:line="360"/>
        <w:ind w:left="0" w:hanging="0"/>
        <w:rPr>
          <w:b/>
          <w:b/>
          <w:bCs/>
          <w:color w:val="000000"/>
        </w:rPr>
      </w:pPr>
      <w:r>
        <w:rPr>
          <w:rFonts w:eastAsia="" w:cs="Arial" w:ascii="Arial" w:hAnsi="Arial"/>
          <w:b/>
          <w:bCs/>
          <w:color w:val="000000"/>
          <w:kern w:val="0"/>
          <w:sz w:val="20"/>
          <w:szCs w:val="20"/>
          <w:lang w:val="pt-BR" w:eastAsia="pt-BR" w:bidi="ar-SA"/>
        </w:rPr>
        <w:t>18 DA ATA DE REGISTRO D</w:t>
      </w:r>
      <w:r>
        <w:rPr>
          <w:rFonts w:cs="Arial" w:ascii="Arial" w:hAnsi="Arial"/>
          <w:b/>
          <w:bCs/>
          <w:color w:val="000000"/>
        </w:rPr>
        <w:t>E PREÇOS</w:t>
      </w:r>
    </w:p>
    <w:p>
      <w:pPr>
        <w:pStyle w:val="Normal"/>
        <w:spacing w:lineRule="auto" w:line="360"/>
        <w:rPr>
          <w:rFonts w:ascii="Arial" w:hAnsi="Arial" w:cs="Arial"/>
          <w:sz w:val="20"/>
          <w:szCs w:val="20"/>
        </w:rPr>
      </w:pPr>
      <w:r>
        <w:rPr>
          <w:rFonts w:cs="Arial" w:ascii="Arial" w:hAnsi="Arial"/>
          <w:sz w:val="20"/>
          <w:szCs w:val="20"/>
        </w:rPr>
      </w:r>
    </w:p>
    <w:p>
      <w:pPr>
        <w:pStyle w:val="Normal"/>
        <w:widowControl/>
        <w:numPr>
          <w:ilvl w:val="0"/>
          <w:numId w:val="0"/>
        </w:numPr>
        <w:suppressAutoHyphens w:val="false"/>
        <w:bidi w:val="0"/>
        <w:spacing w:lineRule="auto" w:line="360" w:before="0" w:after="0"/>
        <w:ind w:left="0" w:right="0" w:hanging="0"/>
        <w:jc w:val="both"/>
        <w:rPr/>
      </w:pPr>
      <w:r>
        <w:rPr>
          <w:rFonts w:eastAsia="ＭＳ 明朝" w:cs="Arial" w:ascii="Arial" w:hAnsi="Arial"/>
          <w:b w:val="false"/>
          <w:i w:val="false"/>
          <w:iCs w:val="false"/>
          <w:color w:val="000000"/>
          <w:sz w:val="20"/>
          <w:szCs w:val="20"/>
          <w:lang w:val="pt-BR" w:eastAsia="pt-BR" w:bidi="ar-SA"/>
        </w:rPr>
        <w:t xml:space="preserve">18.1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pPr>
        <w:pStyle w:val="Normal"/>
        <w:widowControl/>
        <w:numPr>
          <w:ilvl w:val="0"/>
          <w:numId w:val="0"/>
        </w:numPr>
        <w:suppressAutoHyphens w:val="false"/>
        <w:bidi w:val="0"/>
        <w:spacing w:lineRule="auto" w:line="360" w:before="0" w:after="0"/>
        <w:ind w:left="0" w:right="0" w:hanging="0"/>
        <w:jc w:val="both"/>
        <w:rPr/>
      </w:pPr>
      <w:r>
        <w:rPr>
          <w:rFonts w:eastAsia="ＭＳ 明朝" w:cs="Arial" w:ascii="Arial" w:hAnsi="Arial"/>
          <w:b w:val="false"/>
          <w:bCs w:val="false"/>
          <w:i w:val="false"/>
          <w:iCs w:val="false"/>
          <w:color w:val="000000"/>
          <w:sz w:val="20"/>
          <w:szCs w:val="20"/>
          <w:lang w:val="pt-BR" w:eastAsia="pt-BR" w:bidi="ar-SA"/>
        </w:rPr>
        <w:t xml:space="preserve">18.2 Alternativamente à convocação para comparecer perante o órgão ou entidade para a assinatura da Ata de Registro de Preços, a Administração poderá encaminhá-la para assinatura, mediante correspondência postal com aviso de recebimento (AR) ou meio eletrônico (via e-mail Institucional), para que seja assinada e devolvida no prazo de 5 (cinco) dias úteis, a contar da data de seu recebimento. </w:t>
      </w:r>
    </w:p>
    <w:p>
      <w:pPr>
        <w:pStyle w:val="Normal"/>
        <w:widowControl/>
        <w:numPr>
          <w:ilvl w:val="0"/>
          <w:numId w:val="0"/>
        </w:numPr>
        <w:suppressAutoHyphens w:val="false"/>
        <w:bidi w:val="0"/>
        <w:spacing w:lineRule="auto" w:line="360" w:before="0" w:after="0"/>
        <w:ind w:left="794" w:right="0" w:hanging="0"/>
        <w:jc w:val="both"/>
        <w:rPr/>
      </w:pPr>
      <w:r>
        <w:rPr>
          <w:rFonts w:eastAsia="ＭＳ 明朝" w:cs="Arial" w:ascii="Arial" w:hAnsi="Arial"/>
          <w:b w:val="false"/>
          <w:bCs w:val="false"/>
          <w:i w:val="false"/>
          <w:iCs w:val="false"/>
          <w:color w:val="000000"/>
          <w:sz w:val="20"/>
          <w:szCs w:val="20"/>
          <w:lang w:val="pt-BR" w:eastAsia="pt-BR" w:bidi="ar-SA"/>
        </w:rPr>
        <w:t xml:space="preserve"> </w:t>
      </w:r>
      <w:r>
        <w:rPr>
          <w:rFonts w:eastAsia="ＭＳ 明朝" w:cs="Arial" w:ascii="Arial" w:hAnsi="Arial"/>
          <w:b w:val="false"/>
          <w:bCs w:val="false"/>
          <w:i w:val="false"/>
          <w:iCs w:val="false"/>
          <w:color w:val="000000"/>
          <w:sz w:val="20"/>
          <w:szCs w:val="20"/>
          <w:lang w:val="pt-BR" w:eastAsia="pt-BR" w:bidi="ar-SA"/>
        </w:rPr>
        <w:t xml:space="preserve">18.2.1 A administração deverá certificar que a Ata de Registro de Preços encaminhada e devolvida assinada pelo fornecedor registrado, não sofreu nenhuma alteração. </w:t>
      </w:r>
    </w:p>
    <w:p>
      <w:pPr>
        <w:pStyle w:val="Nivel01"/>
        <w:numPr>
          <w:ilvl w:val="0"/>
          <w:numId w:val="0"/>
        </w:numPr>
        <w:spacing w:lineRule="auto" w:line="360"/>
        <w:ind w:left="0" w:hanging="0"/>
        <w:rPr>
          <w:i w:val="false"/>
          <w:i w:val="false"/>
          <w:iCs w:val="false"/>
        </w:rPr>
      </w:pPr>
      <w:r>
        <w:rPr>
          <w:rFonts w:cs="Arial" w:ascii="Arial" w:hAnsi="Arial"/>
          <w:b w:val="false"/>
          <w:i w:val="false"/>
          <w:iCs w:val="false"/>
          <w:color w:val="000000"/>
        </w:rPr>
        <w:t>18.3 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0"/>
          <w:numId w:val="0"/>
        </w:numPr>
        <w:spacing w:lineRule="auto" w:line="360"/>
        <w:ind w:left="0" w:hanging="0"/>
        <w:rPr>
          <w:i w:val="false"/>
          <w:i w:val="false"/>
          <w:iCs w:val="false"/>
        </w:rPr>
      </w:pPr>
      <w:r>
        <w:rPr>
          <w:rFonts w:cs="Arial" w:ascii="Arial" w:hAnsi="Arial"/>
          <w:b w:val="false"/>
          <w:i w:val="false"/>
          <w:iCs w:val="false"/>
          <w:color w:val="000000"/>
        </w:rPr>
        <w:t>18.4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val="true"/>
        <w:keepLines/>
        <w:widowControl/>
        <w:numPr>
          <w:ilvl w:val="0"/>
          <w:numId w:val="0"/>
        </w:numPr>
        <w:suppressAutoHyphens w:val="false"/>
        <w:bidi w:val="0"/>
        <w:spacing w:lineRule="auto" w:line="360" w:before="240" w:after="0"/>
        <w:ind w:left="720" w:right="-227" w:hanging="0"/>
        <w:jc w:val="both"/>
        <w:rPr>
          <w:i w:val="false"/>
          <w:i w:val="false"/>
          <w:iCs w:val="false"/>
        </w:rPr>
      </w:pPr>
      <w:r>
        <w:rPr>
          <w:rFonts w:cs="Arial" w:ascii="Arial" w:hAnsi="Arial"/>
          <w:b w:val="false"/>
          <w:i w:val="false"/>
          <w:iCs w:val="false"/>
          <w:color w:val="000000"/>
        </w:rPr>
        <w:t>18.4.1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numPr>
          <w:ilvl w:val="0"/>
          <w:numId w:val="0"/>
        </w:numPr>
        <w:spacing w:lineRule="auto" w:line="360"/>
        <w:ind w:left="0" w:hanging="0"/>
        <w:rPr/>
      </w:pPr>
      <w:r>
        <w:rPr>
          <w:rFonts w:cs="Arial" w:ascii="Arial" w:hAnsi="Arial"/>
        </w:rPr>
        <w:t>19. DO TERMO DE CONTRATO OU INSTRUMENTO EQUIVALENTE</w:t>
      </w:r>
    </w:p>
    <w:p>
      <w:pPr>
        <w:pStyle w:val="Nivel01"/>
        <w:keepNext w:val="true"/>
        <w:keepLines/>
        <w:widowControl/>
        <w:numPr>
          <w:ilvl w:val="0"/>
          <w:numId w:val="0"/>
        </w:numPr>
        <w:suppressAutoHyphens w:val="false"/>
        <w:bidi w:val="0"/>
        <w:spacing w:lineRule="auto" w:line="360" w:before="240" w:after="0"/>
        <w:ind w:left="0" w:right="0" w:hanging="0"/>
        <w:jc w:val="both"/>
        <w:rPr>
          <w:rFonts w:ascii="Arial" w:hAnsi="Arial" w:cs="Arial"/>
          <w:b w:val="false"/>
          <w:b w:val="false"/>
        </w:rPr>
      </w:pPr>
      <w:r>
        <w:rPr>
          <w:rFonts w:eastAsia="Arial" w:cs="Arial" w:ascii="Arial" w:hAnsi="Arial"/>
          <w:b w:val="false"/>
        </w:rPr>
        <w:t>19.1 Após a homologação da licitação, em sendo realizada a contratação, será firmado Termo de Contrato ou emitido instrumento equivalente.</w:t>
      </w:r>
    </w:p>
    <w:p>
      <w:pPr>
        <w:pStyle w:val="Nivel01"/>
        <w:keepNext w:val="true"/>
        <w:keepLines/>
        <w:widowControl/>
        <w:numPr>
          <w:ilvl w:val="0"/>
          <w:numId w:val="0"/>
        </w:numPr>
        <w:suppressAutoHyphens w:val="false"/>
        <w:bidi w:val="0"/>
        <w:spacing w:lineRule="auto" w:line="360" w:before="240" w:after="0"/>
        <w:ind w:left="0" w:right="0" w:hanging="0"/>
        <w:jc w:val="both"/>
        <w:rPr/>
      </w:pPr>
      <w:r>
        <w:rPr>
          <w:rFonts w:eastAsia="Arial" w:cs="Arial" w:ascii="Arial" w:hAnsi="Arial"/>
          <w:b w:val="false"/>
        </w:rPr>
        <w:t xml:space="preserve">19.2 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
        <w:widowControl/>
        <w:numPr>
          <w:ilvl w:val="0"/>
          <w:numId w:val="0"/>
        </w:numPr>
        <w:suppressAutoHyphens w:val="false"/>
        <w:bidi w:val="0"/>
        <w:spacing w:lineRule="auto" w:line="360" w:before="0" w:after="0"/>
        <w:ind w:left="720" w:right="0" w:hanging="0"/>
        <w:jc w:val="both"/>
        <w:rPr/>
      </w:pPr>
      <w:r>
        <w:rPr>
          <w:rFonts w:eastAsia="Arial" w:cs="Arial" w:ascii="Arial" w:hAnsi="Arial"/>
          <w:b w:val="false"/>
          <w:bCs/>
          <w:color w:val="000000"/>
          <w:sz w:val="20"/>
          <w:szCs w:val="20"/>
          <w:lang w:val="pt-BR" w:eastAsia="pt-BR" w:bidi="ar-SA"/>
        </w:rPr>
        <w:t xml:space="preserve">19.2.1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úteis, a contar da data de seu recebimento. </w:t>
      </w:r>
    </w:p>
    <w:p>
      <w:pPr>
        <w:pStyle w:val="Nivel01"/>
        <w:keepNext w:val="true"/>
        <w:keepLines/>
        <w:widowControl/>
        <w:numPr>
          <w:ilvl w:val="0"/>
          <w:numId w:val="0"/>
        </w:numPr>
        <w:suppressAutoHyphens w:val="false"/>
        <w:bidi w:val="0"/>
        <w:spacing w:lineRule="auto" w:line="360" w:before="240" w:after="0"/>
        <w:ind w:left="720" w:right="0" w:hanging="0"/>
        <w:jc w:val="both"/>
        <w:rPr>
          <w:rFonts w:ascii="Arial" w:hAnsi="Arial" w:eastAsia="Arial" w:cs="Arial"/>
          <w:b w:val="false"/>
          <w:b w:val="false"/>
        </w:rPr>
      </w:pPr>
      <w:r>
        <w:rPr>
          <w:rFonts w:eastAsia="Arial" w:cs="Arial" w:ascii="Arial" w:hAnsi="Arial"/>
          <w:b w:val="false"/>
        </w:rPr>
        <w:t>19.2.2 O prazo previsto no subitem anterior poderá ser prorrogado, por igual período, por solicitação justificada do adjudicatário e aceita pela Administração.</w:t>
      </w:r>
    </w:p>
    <w:p>
      <w:pPr>
        <w:pStyle w:val="Nivel01"/>
        <w:keepNext w:val="true"/>
        <w:keepLines/>
        <w:widowControl/>
        <w:numPr>
          <w:ilvl w:val="0"/>
          <w:numId w:val="0"/>
        </w:numPr>
        <w:tabs>
          <w:tab w:val="left" w:pos="567" w:leader="none"/>
          <w:tab w:val="left" w:pos="630" w:leader="none"/>
        </w:tabs>
        <w:suppressAutoHyphens w:val="false"/>
        <w:bidi w:val="0"/>
        <w:spacing w:lineRule="auto" w:line="360" w:before="240" w:after="0"/>
        <w:ind w:left="0" w:right="0" w:hanging="0"/>
        <w:jc w:val="both"/>
        <w:rPr/>
      </w:pPr>
      <w:r>
        <w:rPr>
          <w:rFonts w:eastAsia="Arial" w:cs="Arial" w:ascii="Arial" w:hAnsi="Arial"/>
          <w:b w:val="false"/>
        </w:rPr>
        <w:t>19.3 O Aceite da Nota de Empenho ou do instrumento equivalente, emitida à empresa adjudicada, implica no reconhecimento de que:</w:t>
      </w:r>
    </w:p>
    <w:p>
      <w:pPr>
        <w:pStyle w:val="ListParagraph"/>
        <w:spacing w:lineRule="auto" w:line="360"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360" w:before="120" w:after="120"/>
        <w:ind w:left="0" w:hanging="0"/>
        <w:contextualSpacing/>
        <w:jc w:val="both"/>
        <w:rPr>
          <w:rFonts w:ascii="Arial" w:hAnsi="Arial" w:eastAsia="Arial" w:cs="Arial"/>
          <w:color w:val="000000"/>
          <w:sz w:val="20"/>
          <w:szCs w:val="20"/>
        </w:rPr>
      </w:pPr>
      <w:r>
        <w:rPr>
          <w:rFonts w:eastAsia="Arial" w:cs="Arial" w:ascii="Arial" w:hAnsi="Arial"/>
          <w:b w:val="false"/>
          <w:color w:val="000000"/>
          <w:sz w:val="20"/>
          <w:szCs w:val="20"/>
        </w:rPr>
        <w:t>19</w:t>
      </w:r>
      <w:r>
        <w:rPr>
          <w:rFonts w:eastAsia="Arial" w:cs="Arial" w:ascii="Arial" w:hAnsi="Arial"/>
          <w:color w:val="000000"/>
          <w:sz w:val="20"/>
          <w:szCs w:val="20"/>
        </w:rPr>
        <w:t>.3.1 referida Nota está substituindo o contrato, aplicando-se à relação de negócios ali estabelecida as disposições da Lei nº 8.666, de 1993;</w:t>
      </w:r>
    </w:p>
    <w:p>
      <w:pPr>
        <w:pStyle w:val="ListParagraph"/>
        <w:numPr>
          <w:ilvl w:val="0"/>
          <w:numId w:val="0"/>
        </w:numPr>
        <w:spacing w:lineRule="auto" w:line="360" w:before="120" w:after="120"/>
        <w:ind w:left="720" w:hanging="0"/>
        <w:contextualSpacing/>
        <w:jc w:val="both"/>
        <w:rPr>
          <w:rFonts w:ascii="Arial" w:hAnsi="Arial" w:eastAsia="Arial" w:cs="Arial"/>
          <w:color w:val="000000"/>
          <w:sz w:val="20"/>
          <w:szCs w:val="20"/>
        </w:rPr>
      </w:pPr>
      <w:r>
        <w:rPr>
          <w:rFonts w:eastAsia="Arial" w:cs="Arial" w:ascii="Arial" w:hAnsi="Arial"/>
          <w:b w:val="false"/>
          <w:color w:val="000000"/>
          <w:sz w:val="20"/>
          <w:szCs w:val="20"/>
        </w:rPr>
        <w:t>19</w:t>
      </w:r>
      <w:r>
        <w:rPr>
          <w:rFonts w:eastAsia="Arial" w:cs="Arial" w:ascii="Arial" w:hAnsi="Arial"/>
          <w:color w:val="000000"/>
          <w:sz w:val="20"/>
          <w:szCs w:val="20"/>
        </w:rPr>
        <w:t>.3.2 a contratada se vincula à sua proposta e às previsões contidas no edital e seus anexos;</w:t>
      </w:r>
    </w:p>
    <w:p>
      <w:pPr>
        <w:pStyle w:val="ListParagraph"/>
        <w:numPr>
          <w:ilvl w:val="0"/>
          <w:numId w:val="0"/>
        </w:numPr>
        <w:spacing w:lineRule="auto" w:line="360" w:before="120" w:after="120"/>
        <w:ind w:left="720" w:hanging="0"/>
        <w:contextualSpacing/>
        <w:jc w:val="both"/>
        <w:rPr>
          <w:rFonts w:ascii="Arial" w:hAnsi="Arial" w:eastAsia="Arial" w:cs="Arial"/>
          <w:color w:val="000000"/>
          <w:sz w:val="20"/>
          <w:szCs w:val="20"/>
        </w:rPr>
      </w:pPr>
      <w:r>
        <w:rPr>
          <w:rFonts w:eastAsia="Arial" w:cs="Arial" w:ascii="Arial" w:hAnsi="Arial"/>
          <w:b w:val="false"/>
          <w:color w:val="000000"/>
          <w:sz w:val="20"/>
          <w:szCs w:val="20"/>
        </w:rPr>
        <w:t>19</w:t>
      </w:r>
      <w:r>
        <w:rPr>
          <w:rFonts w:eastAsia="Arial" w:cs="Arial" w:ascii="Arial" w:hAnsi="Arial"/>
          <w:color w:val="000000"/>
          <w:sz w:val="20"/>
          <w:szCs w:val="20"/>
        </w:rPr>
        <w:t>.3.3 a contratada reconhece que as hipóteses de rescisão são aquelas previstas nos artigos 77 e 78 da Lei nº 8.666/93 e reconhece os direitos da Administração previstos nos artigos 79 e 80 da mesma Lei.</w:t>
      </w:r>
    </w:p>
    <w:p>
      <w:pPr>
        <w:pStyle w:val="Normal"/>
        <w:numPr>
          <w:ilvl w:val="0"/>
          <w:numId w:val="0"/>
        </w:numPr>
        <w:spacing w:lineRule="auto" w:line="360"/>
        <w:ind w:left="0" w:hanging="0"/>
        <w:rPr>
          <w:rFonts w:ascii="Arial" w:hAnsi="Arial" w:eastAsia="Arial" w:cs="Arial"/>
          <w:color w:val="000000"/>
          <w:sz w:val="20"/>
          <w:szCs w:val="20"/>
          <w:lang w:val="pt-BR" w:eastAsia="pt-BR" w:bidi="ar-SA"/>
        </w:rPr>
      </w:pPr>
      <w:r>
        <w:rPr>
          <w:rFonts w:eastAsia="Arial" w:cs="Arial" w:ascii="Arial" w:hAnsi="Arial"/>
          <w:b w:val="false"/>
          <w:color w:val="000000"/>
          <w:sz w:val="20"/>
          <w:szCs w:val="20"/>
          <w:lang w:val="pt-BR" w:eastAsia="pt-BR" w:bidi="ar-SA"/>
        </w:rPr>
        <w:t xml:space="preserve">19.4 O prazo de vigência da contratação é de 12 (doze) meses contados da data de assinatura do contrato, prorrogável na forma do art. 57, § 1°, da Lei n° 8.666/93. </w:t>
      </w:r>
    </w:p>
    <w:p>
      <w:pPr>
        <w:pStyle w:val="Nivel01"/>
        <w:numPr>
          <w:ilvl w:val="0"/>
          <w:numId w:val="0"/>
        </w:numPr>
        <w:spacing w:lineRule="auto" w:line="360"/>
        <w:ind w:left="0" w:hanging="0"/>
        <w:rPr/>
      </w:pPr>
      <w:r>
        <w:rPr>
          <w:rFonts w:eastAsia="Arial" w:cs="Arial" w:ascii="Arial" w:hAnsi="Arial"/>
          <w:b w:val="false"/>
        </w:rPr>
        <w:t xml:space="preserve">19.5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spacing w:lineRule="auto" w:line="360"/>
        <w:ind w:left="720" w:hanging="0"/>
        <w:rPr>
          <w:rFonts w:ascii="Arial" w:hAnsi="Arial" w:eastAsia="Arial" w:cs="Arial"/>
          <w:b w:val="false"/>
          <w:b w:val="false"/>
        </w:rPr>
      </w:pPr>
      <w:r>
        <w:rPr>
          <w:rFonts w:eastAsia="Arial" w:cs="Arial" w:ascii="Arial" w:hAnsi="Arial"/>
          <w:b w:val="false"/>
        </w:rPr>
        <w:t>19.5.1 Nos casos em que houver necessidade de assinatura do instrumento de contrato, e o fornecedor não estiver inscrito no SICAF, este deverá proceder ao seu cadastramento, sem ônus, antes da contratação.</w:t>
      </w:r>
    </w:p>
    <w:p>
      <w:pPr>
        <w:pStyle w:val="Nivel01"/>
        <w:numPr>
          <w:ilvl w:val="0"/>
          <w:numId w:val="0"/>
        </w:numPr>
        <w:spacing w:lineRule="auto" w:line="360"/>
        <w:ind w:left="720" w:hanging="0"/>
        <w:rPr>
          <w:rFonts w:ascii="Arial" w:hAnsi="Arial" w:eastAsia="Arial" w:cs="Arial"/>
          <w:b w:val="false"/>
          <w:b w:val="false"/>
        </w:rPr>
      </w:pPr>
      <w:r>
        <w:rPr>
          <w:rFonts w:eastAsia="Arial" w:cs="Arial" w:ascii="Arial" w:hAnsi="Arial"/>
          <w:b w:val="false"/>
        </w:rPr>
        <w:t>19.5.2 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0"/>
          <w:numId w:val="0"/>
        </w:numPr>
        <w:spacing w:lineRule="auto" w:line="360" w:before="120" w:after="120"/>
        <w:ind w:left="0" w:hanging="0"/>
        <w:jc w:val="both"/>
        <w:rPr>
          <w:rFonts w:ascii="Arial" w:hAnsi="Arial" w:eastAsia="Arial" w:cs="Arial"/>
          <w:color w:val="000000"/>
          <w:sz w:val="20"/>
          <w:szCs w:val="20"/>
        </w:rPr>
      </w:pPr>
      <w:r>
        <w:rPr>
          <w:rFonts w:eastAsia="Arial" w:cs="Arial" w:ascii="Arial" w:hAnsi="Arial"/>
          <w:b w:val="false"/>
          <w:color w:val="000000"/>
          <w:sz w:val="20"/>
          <w:szCs w:val="20"/>
        </w:rPr>
        <w:t>19</w:t>
      </w:r>
      <w:r>
        <w:rPr>
          <w:rFonts w:cs="Arial" w:ascii="Arial" w:hAnsi="Arial"/>
          <w:color w:val="000000"/>
          <w:sz w:val="20"/>
          <w:szCs w:val="20"/>
        </w:rPr>
        <w:t>.6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360" w:before="120" w:after="120"/>
        <w:ind w:left="0" w:hanging="0"/>
        <w:jc w:val="both"/>
        <w:rPr>
          <w:rFonts w:ascii="Arial" w:hAnsi="Arial" w:cs="Arial"/>
          <w:color w:val="000000"/>
          <w:sz w:val="20"/>
          <w:szCs w:val="20"/>
        </w:rPr>
      </w:pPr>
      <w:r>
        <w:rPr>
          <w:rFonts w:eastAsia="Arial" w:cs="Arial" w:ascii="Arial" w:hAnsi="Arial"/>
          <w:b w:val="false"/>
          <w:color w:val="000000"/>
          <w:sz w:val="20"/>
          <w:szCs w:val="20"/>
        </w:rPr>
        <w:t>19</w:t>
      </w:r>
      <w:r>
        <w:rPr>
          <w:rFonts w:cs="Arial" w:ascii="Arial" w:hAnsi="Arial"/>
          <w:color w:val="000000"/>
          <w:sz w:val="20"/>
          <w:szCs w:val="20"/>
        </w:rPr>
        <w:t>.7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keepNext w:val="true"/>
        <w:keepLines/>
        <w:widowControl/>
        <w:numPr>
          <w:ilvl w:val="0"/>
          <w:numId w:val="0"/>
        </w:numPr>
        <w:suppressAutoHyphens w:val="false"/>
        <w:bidi w:val="0"/>
        <w:spacing w:lineRule="auto" w:line="360" w:before="240" w:after="0"/>
        <w:ind w:left="0" w:right="0" w:hanging="0"/>
        <w:jc w:val="both"/>
        <w:rPr/>
      </w:pPr>
      <w:r>
        <w:rPr>
          <w:rFonts w:eastAsia="" w:cs="Arial" w:ascii="Arial" w:hAnsi="Arial"/>
          <w:b/>
          <w:bCs/>
          <w:color w:val="000000"/>
          <w:kern w:val="0"/>
          <w:sz w:val="20"/>
          <w:szCs w:val="20"/>
          <w:lang w:val="pt-BR" w:eastAsia="pt-BR" w:bidi="ar-SA"/>
        </w:rPr>
        <w:t>20</w:t>
      </w:r>
      <w:r>
        <w:rPr>
          <w:rFonts w:cs="Arial" w:ascii="Arial" w:hAnsi="Arial"/>
        </w:rPr>
        <w:t xml:space="preserve"> DO REAJUSTAMENTO EM SENTIDO GERAL</w:t>
      </w:r>
    </w:p>
    <w:p>
      <w:pPr>
        <w:pStyle w:val="ListParagraph"/>
        <w:widowControl/>
        <w:numPr>
          <w:ilvl w:val="0"/>
          <w:numId w:val="0"/>
        </w:numPr>
        <w:suppressAutoHyphens w:val="false"/>
        <w:bidi w:val="0"/>
        <w:spacing w:lineRule="auto" w:line="360" w:before="120" w:after="120"/>
        <w:ind w:left="0" w:right="0" w:hanging="0"/>
        <w:contextualSpacing/>
        <w:jc w:val="both"/>
        <w:rPr>
          <w:rFonts w:ascii="Arial" w:hAnsi="Arial" w:cs="Arial"/>
          <w:color w:val="000000" w:themeColor="text1"/>
          <w:sz w:val="20"/>
          <w:szCs w:val="20"/>
        </w:rPr>
      </w:pPr>
      <w:r>
        <w:rPr>
          <w:rFonts w:eastAsia="" w:cs="Arial" w:ascii="Arial" w:hAnsi="Arial"/>
          <w:color w:val="000000" w:themeColor="text1"/>
          <w:kern w:val="0"/>
          <w:sz w:val="20"/>
          <w:szCs w:val="20"/>
          <w:lang w:val="pt-BR" w:eastAsia="pt-BR" w:bidi="ar-SA"/>
        </w:rPr>
        <w:t>20</w:t>
      </w:r>
      <w:r>
        <w:rPr>
          <w:rFonts w:cs="Arial" w:ascii="Arial" w:hAnsi="Arial"/>
          <w:color w:val="000000" w:themeColor="text1"/>
          <w:sz w:val="20"/>
          <w:szCs w:val="20"/>
        </w:rPr>
        <w:t xml:space="preserve">.1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360"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spacing w:lineRule="auto" w:line="360"/>
        <w:ind w:left="360" w:hanging="0"/>
        <w:rPr>
          <w:rFonts w:ascii="Arial" w:hAnsi="Arial" w:cs="Arial"/>
        </w:rPr>
      </w:pPr>
      <w:r>
        <w:rPr>
          <w:rFonts w:cs="Arial" w:ascii="Arial" w:hAnsi="Arial"/>
        </w:rPr>
        <w:t>21. DO RECEBIMENTO DO OBJETO E DA FISCALIZAÇÃO</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lang w:eastAsia="en-US"/>
        </w:rPr>
        <w:t>21.1 Os critérios de recebimento e aceitação do objeto e de fiscalização estão previstos no Termo de Referência.</w:t>
      </w:r>
    </w:p>
    <w:p>
      <w:pPr>
        <w:pStyle w:val="Nivel01"/>
        <w:numPr>
          <w:ilvl w:val="0"/>
          <w:numId w:val="0"/>
        </w:numPr>
        <w:spacing w:lineRule="auto" w:line="360"/>
        <w:ind w:left="360" w:hanging="0"/>
        <w:rPr>
          <w:rFonts w:ascii="Arial" w:hAnsi="Arial" w:cs="Arial"/>
        </w:rPr>
      </w:pPr>
      <w:r>
        <w:rPr>
          <w:rFonts w:cs="Arial" w:ascii="Arial" w:hAnsi="Arial"/>
          <w:lang w:eastAsia="en-US"/>
        </w:rPr>
        <w:t>22.1 DAS OBRIGAÇÕES DA CONTRATANTE E DA CONTRATADA</w:t>
      </w:r>
    </w:p>
    <w:p>
      <w:pPr>
        <w:pStyle w:val="ListParagraph"/>
        <w:numPr>
          <w:ilvl w:val="0"/>
          <w:numId w:val="0"/>
        </w:numPr>
        <w:spacing w:lineRule="auto" w:line="360" w:before="120" w:after="120"/>
        <w:ind w:left="720" w:hanging="0"/>
        <w:contextualSpacing/>
        <w:jc w:val="both"/>
        <w:rPr>
          <w:rFonts w:ascii="Arial" w:hAnsi="Arial" w:cs="Arial"/>
          <w:b/>
          <w:b/>
          <w:color w:val="000000"/>
          <w:sz w:val="20"/>
          <w:szCs w:val="20"/>
        </w:rPr>
      </w:pPr>
      <w:r>
        <w:rPr>
          <w:rFonts w:cs="Arial" w:ascii="Arial" w:hAnsi="Arial"/>
          <w:color w:val="000000"/>
          <w:sz w:val="20"/>
          <w:szCs w:val="20"/>
          <w:lang w:eastAsia="en-US"/>
        </w:rPr>
        <w:t>22.1 As obrigações da Contratante e da Contratada são as estabelecidas no Termo de Referência.</w:t>
      </w:r>
      <w:r>
        <w:rPr>
          <w:rFonts w:cs="Arial" w:ascii="Arial" w:hAnsi="Arial"/>
          <w:b/>
          <w:color w:val="000000"/>
          <w:sz w:val="20"/>
          <w:szCs w:val="20"/>
        </w:rPr>
        <w:t xml:space="preserve"> </w:t>
      </w:r>
    </w:p>
    <w:p>
      <w:pPr>
        <w:pStyle w:val="Nivel01"/>
        <w:keepNext w:val="true"/>
        <w:keepLines/>
        <w:widowControl/>
        <w:numPr>
          <w:ilvl w:val="0"/>
          <w:numId w:val="0"/>
        </w:numPr>
        <w:suppressAutoHyphens w:val="false"/>
        <w:bidi w:val="0"/>
        <w:spacing w:lineRule="auto" w:line="360" w:before="240" w:after="0"/>
        <w:ind w:left="700" w:right="0" w:hanging="0"/>
        <w:jc w:val="both"/>
        <w:rPr>
          <w:rFonts w:ascii="Arial" w:hAnsi="Arial" w:cs="Arial"/>
        </w:rPr>
      </w:pPr>
      <w:r>
        <w:rPr>
          <w:rFonts w:cs="Arial" w:ascii="Arial" w:hAnsi="Arial"/>
        </w:rPr>
        <w:t>23. DO PAGAMENTO</w:t>
      </w:r>
    </w:p>
    <w:p>
      <w:pPr>
        <w:pStyle w:val="ListParagraph"/>
        <w:widowControl/>
        <w:numPr>
          <w:ilvl w:val="0"/>
          <w:numId w:val="0"/>
        </w:numPr>
        <w:suppressAutoHyphens w:val="false"/>
        <w:bidi w:val="0"/>
        <w:spacing w:lineRule="auto" w:line="360" w:before="120" w:after="120"/>
        <w:ind w:left="720" w:right="0" w:hanging="0"/>
        <w:contextualSpacing/>
        <w:jc w:val="both"/>
        <w:rPr/>
      </w:pPr>
      <w:r>
        <w:rPr>
          <w:rFonts w:cs="Arial" w:ascii="Arial" w:hAnsi="Arial"/>
          <w:color w:val="000000"/>
          <w:sz w:val="20"/>
          <w:szCs w:val="20"/>
          <w:lang w:eastAsia="en-US"/>
        </w:rPr>
        <w:t>23.1 As regras acerca do pagamento são as estabelecidas no Termo de Referência, anexo a este Edital.</w:t>
      </w:r>
    </w:p>
    <w:p>
      <w:pPr>
        <w:pStyle w:val="ListParagraph"/>
        <w:numPr>
          <w:ilvl w:val="0"/>
          <w:numId w:val="0"/>
        </w:numPr>
        <w:spacing w:lineRule="auto" w:line="360" w:before="120" w:after="120"/>
        <w:ind w:left="720" w:hanging="0"/>
        <w:contextualSpacing/>
        <w:jc w:val="both"/>
        <w:rPr>
          <w:rFonts w:eastAsia="" w:eastAsiaTheme="minorEastAsia"/>
        </w:rPr>
      </w:pPr>
      <w:r>
        <w:rPr>
          <w:rFonts w:cs="Arial" w:ascii="Arial" w:hAnsi="Arial"/>
          <w:sz w:val="20"/>
          <w:lang w:eastAsia="en-US"/>
        </w:rPr>
        <w:t>23.1.1 É admitida a cessão de crédito decorrente da contratação de que trata este Instrumento Convocat</w:t>
      </w:r>
      <w:bookmarkStart w:id="2" w:name="_GoBack"/>
      <w:bookmarkEnd w:id="2"/>
      <w:r>
        <w:rPr>
          <w:rFonts w:cs="Arial" w:ascii="Arial" w:hAnsi="Arial"/>
          <w:sz w:val="20"/>
          <w:lang w:eastAsia="en-US"/>
        </w:rPr>
        <w:t>ório, nos termos do previsto na minuta contratual anexa a este Edital.</w:t>
      </w:r>
    </w:p>
    <w:p>
      <w:pPr>
        <w:pStyle w:val="ListParagraph"/>
        <w:widowControl/>
        <w:numPr>
          <w:ilvl w:val="0"/>
          <w:numId w:val="0"/>
        </w:numPr>
        <w:suppressAutoHyphens w:val="false"/>
        <w:bidi w:val="0"/>
        <w:spacing w:lineRule="auto" w:line="360" w:before="120" w:after="120"/>
        <w:ind w:left="720" w:right="0" w:hanging="0"/>
        <w:contextualSpacing/>
        <w:jc w:val="both"/>
        <w:rPr>
          <w:color w:val="000000"/>
        </w:rPr>
      </w:pPr>
      <w:r>
        <w:rPr>
          <w:rFonts w:cs="Arial" w:ascii="Arial" w:hAnsi="Arial"/>
          <w:color w:val="000000"/>
          <w:sz w:val="20"/>
          <w:szCs w:val="20"/>
          <w:lang w:eastAsia="en-US"/>
        </w:rPr>
        <w:t xml:space="preserve">23.2 </w:t>
      </w:r>
      <w:r>
        <w:rPr>
          <w:rFonts w:cs="Arial" w:ascii="Arial" w:hAnsi="Arial"/>
          <w:b/>
          <w:bCs/>
          <w:color w:val="000000"/>
          <w:sz w:val="20"/>
          <w:szCs w:val="20"/>
          <w:lang w:eastAsia="en-US"/>
        </w:rPr>
        <w:t>SUPRIMIDO</w:t>
      </w:r>
    </w:p>
    <w:p>
      <w:pPr>
        <w:pStyle w:val="Nivel01"/>
        <w:numPr>
          <w:ilvl w:val="0"/>
          <w:numId w:val="0"/>
        </w:numPr>
        <w:spacing w:lineRule="auto" w:line="360"/>
        <w:ind w:left="360" w:hanging="0"/>
        <w:rPr/>
      </w:pPr>
      <w:r>
        <w:rPr>
          <w:rFonts w:cs="Arial" w:ascii="Arial" w:hAnsi="Arial"/>
        </w:rPr>
        <w:t>24. DAS SANÇÕES ADMINISTRATIVAS.</w:t>
      </w:r>
    </w:p>
    <w:p>
      <w:pPr>
        <w:pStyle w:val="ListParagraph"/>
        <w:numPr>
          <w:ilvl w:val="0"/>
          <w:numId w:val="0"/>
        </w:numPr>
        <w:spacing w:lineRule="auto" w:line="360" w:before="120" w:after="120"/>
        <w:ind w:left="720" w:hanging="0"/>
        <w:contextualSpacing/>
        <w:jc w:val="both"/>
        <w:rPr>
          <w:rFonts w:ascii="Arial" w:hAnsi="Arial" w:cs="Arial"/>
          <w:sz w:val="20"/>
          <w:szCs w:val="20"/>
          <w:highlight w:val="white"/>
        </w:rPr>
      </w:pPr>
      <w:r>
        <w:rPr>
          <w:rFonts w:cs="Arial" w:ascii="Arial" w:hAnsi="Arial"/>
          <w:sz w:val="20"/>
          <w:szCs w:val="20"/>
          <w:shd w:fill="FFFFFF" w:val="clear"/>
        </w:rPr>
        <w:t xml:space="preserve">24.1 Comete infração administrativa, nos termos da Lei nº 10.520, de 2002, o licitante/adjudicatário que: </w:t>
      </w:r>
    </w:p>
    <w:p>
      <w:pPr>
        <w:pStyle w:val="Normal"/>
        <w:numPr>
          <w:ilvl w:val="0"/>
          <w:numId w:val="0"/>
        </w:numPr>
        <w:tabs>
          <w:tab w:val="clear" w:pos="720"/>
          <w:tab w:val="left" w:pos="1440" w:leader="none"/>
        </w:tabs>
        <w:snapToGrid w:val="false"/>
        <w:spacing w:lineRule="auto" w:line="360" w:before="120" w:after="120"/>
        <w:ind w:left="1440" w:hanging="0"/>
        <w:jc w:val="both"/>
        <w:rPr>
          <w:rFonts w:ascii="Arial" w:hAnsi="Arial" w:cs="Arial"/>
          <w:sz w:val="20"/>
          <w:szCs w:val="20"/>
          <w:highlight w:val="white"/>
        </w:rPr>
      </w:pPr>
      <w:r>
        <w:rPr>
          <w:rFonts w:cs="Arial" w:ascii="Arial" w:hAnsi="Arial"/>
          <w:sz w:val="20"/>
          <w:szCs w:val="20"/>
          <w:shd w:fill="FFFFFF" w:val="clear"/>
        </w:rPr>
        <w:t>24.1.1 não assinar o termo de contrato ou aceitar/retirar o instrumento equivalente, quando convocado dentro do prazo de validade da proposta;</w:t>
      </w:r>
    </w:p>
    <w:p>
      <w:pPr>
        <w:pStyle w:val="ListParagraph"/>
        <w:numPr>
          <w:ilvl w:val="0"/>
          <w:numId w:val="0"/>
        </w:numPr>
        <w:spacing w:lineRule="auto" w:line="360"/>
        <w:ind w:left="1440" w:hanging="0"/>
        <w:rPr/>
      </w:pPr>
      <w:r>
        <w:rPr>
          <w:rFonts w:cs="Arial" w:ascii="Arial" w:hAnsi="Arial"/>
          <w:sz w:val="20"/>
          <w:szCs w:val="20"/>
          <w:shd w:fill="FFFFFF" w:val="clear"/>
        </w:rPr>
        <w:t>24.1.2 não assinar a ata de registro de preços, quando cabível;</w:t>
      </w:r>
      <w:r>
        <w:rPr>
          <w:rFonts w:cs="Arial" w:ascii="Arial" w:hAnsi="Arial"/>
          <w:sz w:val="20"/>
          <w:szCs w:val="20"/>
          <w:highlight w:val="white"/>
          <w:shd w:fill="FFFFFF" w:val="clear"/>
        </w:rPr>
        <w:t xml:space="preserve"> </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23.1.3 apresentar documentação falsa;</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24.1.4 deixar de entregar os documentos exigidos no certame;</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24</w:t>
      </w:r>
      <w:r>
        <w:rPr>
          <w:rFonts w:cs="Arial" w:ascii="Arial" w:hAnsi="Arial"/>
          <w:sz w:val="20"/>
          <w:szCs w:val="20"/>
        </w:rPr>
        <w:t>.1.5 ensejar o retardamento da execução do objeto;</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24.1.6 não mantiver a proposta;</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24.1.6 cometer fraude fiscal;</w:t>
      </w:r>
    </w:p>
    <w:p>
      <w:pPr>
        <w:pStyle w:val="Normal"/>
        <w:numPr>
          <w:ilvl w:val="0"/>
          <w:numId w:val="0"/>
        </w:numPr>
        <w:tabs>
          <w:tab w:val="clear" w:pos="720"/>
          <w:tab w:val="left" w:pos="1440" w:leader="none"/>
        </w:tabs>
        <w:snapToGrid w:val="false"/>
        <w:spacing w:lineRule="auto" w:line="360" w:before="120" w:after="120"/>
        <w:ind w:left="1638" w:hanging="0"/>
        <w:jc w:val="both"/>
        <w:rPr>
          <w:rFonts w:ascii="Arial" w:hAnsi="Arial" w:cs="Arial"/>
          <w:sz w:val="20"/>
          <w:szCs w:val="20"/>
          <w:highlight w:val="white"/>
        </w:rPr>
      </w:pPr>
      <w:r>
        <w:rPr>
          <w:rFonts w:cs="Arial" w:ascii="Arial" w:hAnsi="Arial"/>
          <w:sz w:val="20"/>
          <w:szCs w:val="20"/>
          <w:shd w:fill="FFFFFF" w:val="clear"/>
        </w:rPr>
        <w:t>24.1.7 comportar-se de modo inidôneo;</w:t>
      </w:r>
    </w:p>
    <w:p>
      <w:pPr>
        <w:pStyle w:val="Normal"/>
        <w:numPr>
          <w:ilvl w:val="0"/>
          <w:numId w:val="0"/>
        </w:numPr>
        <w:spacing w:lineRule="auto" w:line="360" w:before="120" w:after="120"/>
        <w:ind w:left="0" w:hanging="0"/>
        <w:jc w:val="both"/>
        <w:rPr/>
      </w:pPr>
      <w:r>
        <w:rPr>
          <w:rFonts w:cs="Arial" w:ascii="Arial" w:hAnsi="Arial"/>
          <w:color w:val="000000"/>
          <w:sz w:val="20"/>
          <w:szCs w:val="20"/>
          <w:shd w:fill="FFFFFF" w:val="clear"/>
        </w:rPr>
        <w:t>24</w:t>
      </w:r>
      <w:r>
        <w:rPr>
          <w:rFonts w:cs="Arial" w:ascii="Arial" w:hAnsi="Arial"/>
          <w:color w:val="000000"/>
          <w:sz w:val="20"/>
          <w:szCs w:val="20"/>
        </w:rPr>
        <w:t xml:space="preserve">.2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 xml:space="preserve">24.4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360" w:before="120" w:after="120"/>
        <w:ind w:left="720" w:hanging="0"/>
        <w:contextualSpacing/>
        <w:jc w:val="both"/>
        <w:rPr>
          <w:rFonts w:ascii="Arial" w:hAnsi="Arial" w:cs="Arial"/>
          <w:sz w:val="20"/>
          <w:szCs w:val="20"/>
          <w:highlight w:val="white"/>
        </w:rPr>
      </w:pPr>
      <w:r>
        <w:rPr>
          <w:rFonts w:cs="Arial" w:ascii="Arial" w:hAnsi="Arial"/>
          <w:sz w:val="20"/>
          <w:szCs w:val="20"/>
          <w:shd w:fill="FFFFFF" w:val="clear"/>
        </w:rPr>
        <w:t>24.4.1 Advertência por faltas leves, assim entendidas como aquelas que não acarretarem prejuízos significativos ao objeto da contratação;</w:t>
      </w:r>
    </w:p>
    <w:p>
      <w:pPr>
        <w:pStyle w:val="ListParagraph"/>
        <w:numPr>
          <w:ilvl w:val="0"/>
          <w:numId w:val="0"/>
        </w:numPr>
        <w:spacing w:lineRule="auto" w:line="360" w:before="120" w:after="120"/>
        <w:ind w:left="720" w:hanging="0"/>
        <w:contextualSpacing/>
        <w:jc w:val="both"/>
        <w:rPr/>
      </w:pPr>
      <w:r>
        <w:rPr>
          <w:rFonts w:cs="Arial" w:ascii="Arial" w:hAnsi="Arial"/>
          <w:sz w:val="20"/>
          <w:szCs w:val="20"/>
          <w:shd w:fill="FFFFFF" w:val="clear"/>
        </w:rPr>
        <w:t>24.4.2 Multa de 5% (cinco por cento) sobre o valor estimado do(s) item(s) prejudicado(s) pela conduta do licitante;</w:t>
      </w:r>
    </w:p>
    <w:p>
      <w:pPr>
        <w:pStyle w:val="ListParagraph"/>
        <w:numPr>
          <w:ilvl w:val="0"/>
          <w:numId w:val="0"/>
        </w:numPr>
        <w:spacing w:lineRule="auto" w:line="360" w:before="120" w:after="120"/>
        <w:ind w:left="720" w:hanging="0"/>
        <w:contextualSpacing/>
        <w:jc w:val="both"/>
        <w:rPr>
          <w:rFonts w:ascii="Arial" w:hAnsi="Arial" w:cs="Arial"/>
          <w:sz w:val="20"/>
          <w:szCs w:val="20"/>
          <w:highlight w:val="white"/>
        </w:rPr>
      </w:pPr>
      <w:r>
        <w:rPr>
          <w:rFonts w:cs="Arial" w:ascii="Arial" w:hAnsi="Arial"/>
          <w:sz w:val="20"/>
          <w:szCs w:val="20"/>
          <w:shd w:fill="FFFFFF" w:val="clear"/>
        </w:rPr>
        <w:t>24.4.3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360" w:before="120" w:after="120"/>
        <w:ind w:left="720" w:hanging="0"/>
        <w:contextualSpacing/>
        <w:jc w:val="both"/>
        <w:rPr>
          <w:rFonts w:ascii="Arial" w:hAnsi="Arial" w:cs="Arial"/>
          <w:sz w:val="20"/>
          <w:szCs w:val="20"/>
          <w:highlight w:val="white"/>
        </w:rPr>
      </w:pPr>
      <w:r>
        <w:rPr>
          <w:rFonts w:cs="Arial" w:ascii="Arial" w:hAnsi="Arial"/>
          <w:sz w:val="20"/>
          <w:szCs w:val="20"/>
          <w:shd w:fill="FFFFFF" w:val="clear"/>
        </w:rPr>
        <w:t>24.4.4 Impedimento de licitar e de contratar com a União e descredenciamento no SICAF, pelo prazo de até cinco anos;</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24.6 A penalidade de multa pode ser aplicada cumulativamente com as demais sanções.</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 xml:space="preserve">24.7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 xml:space="preserve">24.8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 xml:space="preserve">24.9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24.10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24.12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24.13 As penalidades serão obrigatoriamente registradas no SICAF.</w:t>
      </w:r>
    </w:p>
    <w:p>
      <w:pPr>
        <w:pStyle w:val="ListParagraph"/>
        <w:numPr>
          <w:ilvl w:val="0"/>
          <w:numId w:val="0"/>
        </w:numPr>
        <w:spacing w:lineRule="auto" w:line="360" w:before="120" w:after="120"/>
        <w:ind w:left="0" w:hanging="0"/>
        <w:contextualSpacing/>
        <w:jc w:val="both"/>
        <w:rPr>
          <w:rFonts w:ascii="Arial" w:hAnsi="Arial" w:cs="Arial"/>
          <w:sz w:val="20"/>
          <w:szCs w:val="20"/>
          <w:highlight w:val="white"/>
        </w:rPr>
      </w:pPr>
      <w:r>
        <w:rPr>
          <w:rFonts w:cs="Arial" w:ascii="Arial" w:hAnsi="Arial"/>
          <w:sz w:val="20"/>
          <w:szCs w:val="20"/>
          <w:shd w:fill="FFFFFF" w:val="clear"/>
        </w:rPr>
        <w:t>24.14 As sanções por atos praticados no decorrer da contratação estão previstas no Termo de Referência.</w:t>
      </w:r>
    </w:p>
    <w:p>
      <w:pPr>
        <w:pStyle w:val="Nivel01"/>
        <w:numPr>
          <w:ilvl w:val="0"/>
          <w:numId w:val="0"/>
        </w:numPr>
        <w:spacing w:lineRule="auto" w:line="360"/>
        <w:ind w:left="360" w:hanging="0"/>
        <w:rPr>
          <w:i w:val="false"/>
          <w:i w:val="false"/>
          <w:iCs w:val="false"/>
        </w:rPr>
      </w:pPr>
      <w:r>
        <w:rPr>
          <w:rFonts w:cs="Arial" w:ascii="Arial" w:hAnsi="Arial"/>
          <w:i w:val="false"/>
          <w:iCs w:val="false"/>
          <w:color w:val="000000"/>
        </w:rPr>
        <w:t xml:space="preserve">25 DA FORMAÇÃO DO CADASTRO DE RESERVA </w:t>
      </w:r>
    </w:p>
    <w:p>
      <w:pPr>
        <w:pStyle w:val="ListParagraph"/>
        <w:widowControl/>
        <w:numPr>
          <w:ilvl w:val="0"/>
          <w:numId w:val="0"/>
        </w:numPr>
        <w:suppressAutoHyphens w:val="false"/>
        <w:bidi w:val="0"/>
        <w:spacing w:lineRule="auto" w:line="360" w:before="120" w:after="120"/>
        <w:ind w:left="0" w:right="0" w:hanging="0"/>
        <w:contextualSpacing/>
        <w:jc w:val="both"/>
        <w:rPr>
          <w:i w:val="false"/>
          <w:i w:val="false"/>
          <w:iCs w:val="false"/>
        </w:rPr>
      </w:pPr>
      <w:r>
        <w:rPr>
          <w:rFonts w:cs="Arial" w:ascii="Arial" w:hAnsi="Arial"/>
          <w:i w:val="false"/>
          <w:iCs w:val="false"/>
          <w:color w:val="000000"/>
          <w:sz w:val="20"/>
          <w:szCs w:val="20"/>
        </w:rPr>
        <w:t>25.1 Após o encerramento da etapa competitiva, os licitantes poderão reduzir seus preços ao valor da proposta do licitante mais bem classificado.</w:t>
      </w:r>
    </w:p>
    <w:p>
      <w:pPr>
        <w:pStyle w:val="Normal"/>
        <w:numPr>
          <w:ilvl w:val="0"/>
          <w:numId w:val="0"/>
        </w:numPr>
        <w:spacing w:lineRule="auto" w:line="360" w:before="120" w:after="120"/>
        <w:ind w:left="0" w:hanging="0"/>
        <w:jc w:val="both"/>
        <w:rPr>
          <w:i w:val="false"/>
          <w:i w:val="false"/>
          <w:iCs w:val="false"/>
        </w:rPr>
      </w:pPr>
      <w:r>
        <w:rPr>
          <w:rFonts w:cs="Arial" w:ascii="Arial" w:hAnsi="Arial"/>
          <w:i w:val="false"/>
          <w:iCs w:val="false"/>
          <w:color w:val="000000"/>
          <w:sz w:val="20"/>
          <w:szCs w:val="20"/>
        </w:rPr>
        <w:t>25.2 A apresentação de novas propostas na forma deste item não prejudicará o resultado do certame em relação ao licitante melhor classificado.</w:t>
      </w:r>
    </w:p>
    <w:p>
      <w:pPr>
        <w:pStyle w:val="Normal"/>
        <w:numPr>
          <w:ilvl w:val="0"/>
          <w:numId w:val="0"/>
        </w:numPr>
        <w:spacing w:lineRule="auto" w:line="360" w:before="120" w:after="120"/>
        <w:ind w:left="0" w:hanging="0"/>
        <w:jc w:val="both"/>
        <w:rPr>
          <w:i w:val="false"/>
          <w:i w:val="false"/>
          <w:iCs w:val="false"/>
        </w:rPr>
      </w:pPr>
      <w:r>
        <w:rPr>
          <w:rFonts w:cs="Arial" w:ascii="Arial" w:hAnsi="Arial"/>
          <w:i w:val="false"/>
          <w:iCs w:val="false"/>
          <w:color w:val="000000"/>
          <w:sz w:val="20"/>
          <w:szCs w:val="20"/>
        </w:rPr>
        <w:t>25.3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360" w:before="120" w:after="120"/>
        <w:ind w:left="0" w:hanging="0"/>
        <w:jc w:val="both"/>
        <w:rPr/>
      </w:pPr>
      <w:r>
        <w:rPr>
          <w:rFonts w:cs="Arial" w:ascii="Arial" w:hAnsi="Arial"/>
          <w:i w:val="false"/>
          <w:iCs w:val="false"/>
          <w:color w:val="000000"/>
          <w:sz w:val="20"/>
          <w:szCs w:val="20"/>
        </w:rPr>
        <w:t>25.4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0"/>
        </w:numPr>
        <w:spacing w:lineRule="auto" w:line="360"/>
        <w:ind w:left="0" w:hanging="0"/>
        <w:rPr/>
      </w:pPr>
      <w:r>
        <w:rPr>
          <w:rFonts w:cs="Arial" w:ascii="Arial" w:hAnsi="Arial"/>
        </w:rPr>
        <w:t>26. DA IMPUGNAÇÃO AO EDITAL E DO PEDIDO DE ESCLARECIMENTO</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sz w:val="20"/>
          <w:szCs w:val="20"/>
        </w:rPr>
        <w:t xml:space="preserve">26.1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0"/>
          <w:numId w:val="0"/>
        </w:numPr>
        <w:spacing w:lineRule="auto" w:line="360" w:before="120" w:after="120"/>
        <w:ind w:left="0" w:hanging="0"/>
        <w:contextualSpacing/>
        <w:jc w:val="both"/>
        <w:rPr>
          <w:color w:val="000000"/>
        </w:rPr>
      </w:pPr>
      <w:r>
        <w:rPr>
          <w:rFonts w:cs="Arial" w:ascii="Arial" w:hAnsi="Arial"/>
          <w:color w:val="000000"/>
          <w:sz w:val="20"/>
          <w:szCs w:val="20"/>
        </w:rPr>
        <w:t xml:space="preserve">26.2 A impugnação poderá ser realizada por forma eletrônica, pelo </w:t>
      </w:r>
      <w:r>
        <w:rPr>
          <w:rFonts w:cs="Arial" w:ascii="Arial" w:hAnsi="Arial"/>
          <w:b/>
          <w:bCs/>
          <w:color w:val="000000"/>
          <w:sz w:val="20"/>
          <w:szCs w:val="20"/>
        </w:rPr>
        <w:t>e-mail licitacoes@ifsertaope.edu.br, pelo fax (87) 2101-2350, ramais 2373</w:t>
      </w:r>
      <w:r>
        <w:rPr>
          <w:rFonts w:cs="Arial" w:ascii="Arial" w:hAnsi="Arial"/>
          <w:color w:val="000000"/>
          <w:sz w:val="20"/>
          <w:szCs w:val="20"/>
        </w:rPr>
        <w:t xml:space="preserve">, ou por petição dirigida ou protocolada no endereço </w:t>
      </w:r>
      <w:r>
        <w:rPr>
          <w:rFonts w:cs="Arial" w:ascii="Arial" w:hAnsi="Arial"/>
          <w:b/>
          <w:bCs/>
          <w:color w:val="000000"/>
          <w:sz w:val="20"/>
          <w:szCs w:val="20"/>
        </w:rPr>
        <w:t xml:space="preserve">Rua Aristarco Lopes, 240, Centro, Petrolina-PE, CEP: 56.302-100, na Diretoria de Licitações do IF Sertão – PE. </w:t>
      </w:r>
    </w:p>
    <w:p>
      <w:pPr>
        <w:pStyle w:val="ListParagraph"/>
        <w:numPr>
          <w:ilvl w:val="0"/>
          <w:numId w:val="0"/>
        </w:numPr>
        <w:spacing w:lineRule="auto" w:line="360" w:before="120" w:after="120"/>
        <w:ind w:left="0" w:hanging="0"/>
        <w:contextualSpacing/>
        <w:jc w:val="both"/>
        <w:rPr/>
      </w:pPr>
      <w:r>
        <w:rPr>
          <w:rFonts w:cs="Arial" w:ascii="Arial" w:hAnsi="Arial"/>
          <w:color w:val="000000"/>
          <w:sz w:val="20"/>
          <w:szCs w:val="20"/>
        </w:rPr>
        <w:t>26.3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26.3.1 Acolhida a impugnação, será definida e publicada nova data para a realização do certame.</w:t>
      </w:r>
    </w:p>
    <w:p>
      <w:pPr>
        <w:pStyle w:val="ListParagraph"/>
        <w:numPr>
          <w:ilvl w:val="0"/>
          <w:numId w:val="0"/>
        </w:numPr>
        <w:spacing w:lineRule="auto" w:line="360" w:before="120" w:after="120"/>
        <w:ind w:left="720" w:hanging="0"/>
        <w:contextualSpacing/>
        <w:jc w:val="both"/>
        <w:rPr>
          <w:rFonts w:ascii="Arial" w:hAnsi="Arial" w:cs="Arial"/>
          <w:color w:val="000000"/>
          <w:sz w:val="20"/>
          <w:szCs w:val="20"/>
        </w:rPr>
      </w:pPr>
      <w:r>
        <w:rPr>
          <w:rFonts w:cs="Arial" w:ascii="Arial" w:hAnsi="Arial"/>
          <w:color w:val="000000"/>
          <w:sz w:val="20"/>
          <w:szCs w:val="20"/>
        </w:rPr>
        <w:t xml:space="preserve">26.3.2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26.3.2.1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360" w:before="120" w:after="120"/>
        <w:ind w:left="0" w:hanging="0"/>
        <w:contextualSpacing/>
        <w:jc w:val="both"/>
        <w:rPr>
          <w:rFonts w:ascii="Arial" w:hAnsi="Arial" w:cs="Arial"/>
          <w:color w:val="000000"/>
          <w:sz w:val="20"/>
          <w:szCs w:val="20"/>
        </w:rPr>
      </w:pPr>
      <w:r>
        <w:rPr>
          <w:rFonts w:cs="Arial" w:ascii="Arial" w:hAnsi="Arial"/>
          <w:color w:val="000000"/>
          <w:sz w:val="20"/>
          <w:szCs w:val="20"/>
        </w:rPr>
        <w:t>26.4 As impugnações e pedidos de esclarecimentos não suspendem os prazos previstos no certame.</w:t>
      </w:r>
    </w:p>
    <w:p>
      <w:pPr>
        <w:pStyle w:val="Normal"/>
        <w:numPr>
          <w:ilvl w:val="0"/>
          <w:numId w:val="0"/>
        </w:numPr>
        <w:spacing w:lineRule="auto" w:line="360" w:before="120" w:after="120"/>
        <w:ind w:left="720" w:hanging="0"/>
        <w:jc w:val="both"/>
        <w:rPr>
          <w:rFonts w:ascii="Arial" w:hAnsi="Arial" w:cs="Arial"/>
          <w:color w:val="000000"/>
          <w:sz w:val="20"/>
          <w:szCs w:val="20"/>
        </w:rPr>
      </w:pPr>
      <w:r>
        <w:rPr>
          <w:rFonts w:cs="Arial" w:ascii="Arial" w:hAnsi="Arial"/>
          <w:color w:val="000000"/>
          <w:sz w:val="20"/>
          <w:szCs w:val="20"/>
        </w:rPr>
        <w:t>26.4.1 A concessão de efeito suspensivo à impugnação é medida excepcional e deverá ser motivada pelo pregoeiro, nos autos do processo de licitação.</w:t>
      </w:r>
    </w:p>
    <w:p>
      <w:pPr>
        <w:pStyle w:val="Normal"/>
        <w:widowControl/>
        <w:numPr>
          <w:ilvl w:val="0"/>
          <w:numId w:val="0"/>
        </w:numPr>
        <w:suppressAutoHyphens w:val="false"/>
        <w:bidi w:val="0"/>
        <w:spacing w:lineRule="auto" w:line="360" w:before="120" w:after="120"/>
        <w:ind w:left="0" w:right="0" w:hanging="0"/>
        <w:jc w:val="both"/>
        <w:rPr>
          <w:rFonts w:ascii="Arial" w:hAnsi="Arial" w:cs="Arial"/>
          <w:color w:val="000000"/>
          <w:sz w:val="20"/>
          <w:szCs w:val="20"/>
        </w:rPr>
      </w:pPr>
      <w:r>
        <w:rPr>
          <w:rFonts w:cs="Arial" w:ascii="Arial" w:hAnsi="Arial"/>
          <w:color w:val="000000"/>
          <w:sz w:val="20"/>
          <w:szCs w:val="20"/>
        </w:rPr>
        <w:t>26.5 As respostas aos pedidos de esclarecimentos serão divulgadas pelo sistema e vincularão os participantes e a administração..</w:t>
      </w:r>
    </w:p>
    <w:p>
      <w:pPr>
        <w:pStyle w:val="Nivel01"/>
        <w:numPr>
          <w:ilvl w:val="0"/>
          <w:numId w:val="0"/>
        </w:numPr>
        <w:spacing w:lineRule="auto" w:line="360"/>
        <w:ind w:left="0" w:hanging="0"/>
        <w:rPr>
          <w:rFonts w:ascii="Arial" w:hAnsi="Arial" w:cs="Arial"/>
        </w:rPr>
      </w:pPr>
      <w:r>
        <w:rPr>
          <w:rFonts w:cs="Arial" w:ascii="Arial" w:hAnsi="Arial"/>
        </w:rPr>
        <w:t>27. DAS DISPOSIÇÕES GERAIS</w:t>
      </w:r>
    </w:p>
    <w:p>
      <w:pPr>
        <w:pStyle w:val="Normal"/>
        <w:widowControl/>
        <w:numPr>
          <w:ilvl w:val="0"/>
          <w:numId w:val="0"/>
        </w:numPr>
        <w:suppressAutoHyphens w:val="false"/>
        <w:bidi w:val="0"/>
        <w:spacing w:lineRule="auto" w:line="360" w:before="120" w:after="120"/>
        <w:ind w:left="0" w:right="0" w:hanging="0"/>
        <w:jc w:val="both"/>
        <w:rPr>
          <w:rFonts w:ascii="Arial" w:hAnsi="Arial" w:cs="Arial"/>
          <w:color w:val="000000"/>
          <w:sz w:val="20"/>
          <w:szCs w:val="20"/>
        </w:rPr>
      </w:pPr>
      <w:r>
        <w:rPr>
          <w:rFonts w:cs="Arial" w:ascii="Arial" w:hAnsi="Arial"/>
          <w:color w:val="000000"/>
          <w:sz w:val="20"/>
          <w:szCs w:val="20"/>
        </w:rPr>
        <w:t>27.1 Da sessão pública do Pregão divulgar-se-á Ata no sistema eletrônico.</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 xml:space="preserve">27.2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27.3 Todas as referências de tempo no Edital, no aviso e durante a sessão pública observarão o horário de Brasília – DF.</w:t>
      </w:r>
    </w:p>
    <w:p>
      <w:pPr>
        <w:pStyle w:val="Normal"/>
        <w:numPr>
          <w:ilvl w:val="0"/>
          <w:numId w:val="0"/>
        </w:numPr>
        <w:spacing w:lineRule="auto" w:line="360" w:before="120" w:after="120"/>
        <w:ind w:left="0" w:hanging="0"/>
        <w:jc w:val="both"/>
        <w:rPr>
          <w:rFonts w:ascii="Arial" w:hAnsi="Arial" w:cs="Arial"/>
          <w:color w:val="000000" w:themeColor="text1"/>
          <w:sz w:val="20"/>
          <w:szCs w:val="20"/>
        </w:rPr>
      </w:pPr>
      <w:r>
        <w:rPr>
          <w:rFonts w:cs="Arial" w:ascii="Arial" w:hAnsi="Arial"/>
          <w:color w:val="000000" w:themeColor="text1"/>
          <w:sz w:val="20"/>
          <w:szCs w:val="20"/>
        </w:rPr>
        <w:t>27.4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27.5 A homologação do resultado desta licitação não implicará direito à contratação.</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 xml:space="preserve">27.6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27.7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360" w:before="120" w:after="120"/>
        <w:ind w:left="360" w:hanging="0"/>
        <w:jc w:val="both"/>
        <w:rPr>
          <w:rFonts w:ascii="Arial" w:hAnsi="Arial" w:cs="Arial"/>
          <w:color w:val="000000"/>
          <w:sz w:val="20"/>
          <w:szCs w:val="20"/>
        </w:rPr>
      </w:pPr>
      <w:r>
        <w:rPr>
          <w:rFonts w:cs="Arial" w:ascii="Arial" w:hAnsi="Arial"/>
          <w:color w:val="000000"/>
          <w:sz w:val="20"/>
          <w:szCs w:val="20"/>
        </w:rPr>
        <w:t>27.8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360" w:before="120" w:after="120"/>
        <w:ind w:left="360" w:hanging="0"/>
        <w:jc w:val="both"/>
        <w:rPr>
          <w:rFonts w:ascii="Arial" w:hAnsi="Arial" w:cs="Arial"/>
          <w:color w:val="000000"/>
          <w:sz w:val="20"/>
          <w:szCs w:val="20"/>
        </w:rPr>
      </w:pPr>
      <w:r>
        <w:rPr>
          <w:rFonts w:cs="Arial" w:ascii="Arial" w:hAnsi="Arial"/>
          <w:color w:val="000000"/>
          <w:sz w:val="20"/>
          <w:szCs w:val="20"/>
        </w:rPr>
        <w:t>27.9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360" w:before="120" w:after="120"/>
        <w:ind w:left="360" w:hanging="0"/>
        <w:jc w:val="both"/>
        <w:rPr>
          <w:rFonts w:ascii="Arial" w:hAnsi="Arial" w:cs="Arial"/>
          <w:color w:val="000000"/>
          <w:sz w:val="20"/>
          <w:szCs w:val="20"/>
        </w:rPr>
      </w:pPr>
      <w:r>
        <w:rPr>
          <w:rFonts w:cs="Arial" w:ascii="Arial" w:hAnsi="Arial"/>
          <w:color w:val="000000"/>
          <w:sz w:val="20"/>
          <w:szCs w:val="20"/>
        </w:rPr>
        <w:t>27.10 Em caso de divergência entre disposições deste Edital e de seus anexos ou demais peças que compõem o processo, prevalecerá as deste Edital.</w:t>
      </w:r>
    </w:p>
    <w:p>
      <w:pPr>
        <w:pStyle w:val="Normal"/>
        <w:numPr>
          <w:ilvl w:val="0"/>
          <w:numId w:val="0"/>
        </w:numPr>
        <w:spacing w:lineRule="auto" w:line="360" w:before="120" w:after="120"/>
        <w:ind w:left="0" w:hanging="0"/>
        <w:jc w:val="both"/>
        <w:rPr/>
      </w:pPr>
      <w:r>
        <w:rPr>
          <w:rFonts w:cs="Arial" w:ascii="Arial" w:hAnsi="Arial"/>
          <w:color w:val="000000"/>
          <w:sz w:val="20"/>
          <w:szCs w:val="20"/>
        </w:rPr>
        <w:t xml:space="preserve">27.11 O Edital está disponibilizado, na íntegra, no endereço eletrônico www.comprasgovernamentais.gov.br, na página do IF Sertão – PE: www.ifsertaope.edu.br/index.php/licitacoes/pregao-eletronico/pregao-rei e também poderão ser lidos e/ou obtidos no endereço Rua Aristarco Lopes, 240, Centro, Petrolina-PE, CEP: 56302-100, nos dias úteis, no horário das 8 (oito) horas às 17 (dezessete) horas, mesmo endereço e período no qual os autos do processo administrativo permanecerão com vista franqueada aos interessados. </w:t>
      </w:r>
    </w:p>
    <w:p>
      <w:pPr>
        <w:pStyle w:val="Normal"/>
        <w:numPr>
          <w:ilvl w:val="0"/>
          <w:numId w:val="0"/>
        </w:numPr>
        <w:spacing w:lineRule="auto" w:line="360" w:before="120" w:after="120"/>
        <w:ind w:left="0" w:hanging="0"/>
        <w:jc w:val="both"/>
        <w:rPr>
          <w:rFonts w:ascii="Arial" w:hAnsi="Arial" w:cs="Arial"/>
          <w:color w:val="000000"/>
          <w:sz w:val="20"/>
          <w:szCs w:val="20"/>
        </w:rPr>
      </w:pPr>
      <w:r>
        <w:rPr>
          <w:rFonts w:cs="Arial" w:ascii="Arial" w:hAnsi="Arial"/>
          <w:color w:val="000000"/>
          <w:sz w:val="20"/>
          <w:szCs w:val="20"/>
        </w:rPr>
        <w:t>27.12 Integram este Edital, para todos os fins e efeitos, os seguintes anexos: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iCs/>
          <w:color w:val="000000"/>
          <w:sz w:val="20"/>
          <w:szCs w:val="20"/>
        </w:rPr>
      </w:pPr>
      <w:r>
        <w:rPr>
          <w:rFonts w:cs="Arial" w:ascii="Arial" w:hAnsi="Arial"/>
          <w:color w:val="000000"/>
          <w:sz w:val="20"/>
          <w:szCs w:val="20"/>
        </w:rPr>
        <w:t>27.12.1 ANEXO I – Termo de Referência</w:t>
      </w:r>
    </w:p>
    <w:p>
      <w:pPr>
        <w:pStyle w:val="Normal"/>
        <w:numPr>
          <w:ilvl w:val="0"/>
          <w:numId w:val="0"/>
        </w:numPr>
        <w:tabs>
          <w:tab w:val="clear" w:pos="720"/>
          <w:tab w:val="left" w:pos="1440" w:leader="none"/>
        </w:tabs>
        <w:snapToGrid w:val="false"/>
        <w:spacing w:lineRule="auto" w:line="360" w:before="120" w:after="120"/>
        <w:ind w:left="1440" w:hanging="0"/>
        <w:jc w:val="both"/>
        <w:rPr>
          <w:rFonts w:ascii="Arial" w:hAnsi="Arial" w:cs="Arial"/>
          <w:iCs/>
          <w:color w:val="000000"/>
          <w:sz w:val="20"/>
          <w:szCs w:val="20"/>
        </w:rPr>
      </w:pPr>
      <w:r>
        <w:rPr>
          <w:rFonts w:cs="Arial" w:ascii="Arial" w:hAnsi="Arial"/>
          <w:iCs/>
          <w:color w:val="000000"/>
          <w:sz w:val="20"/>
          <w:szCs w:val="20"/>
        </w:rPr>
        <w:t>27.12.1.1</w:t>
      </w:r>
      <w:r>
        <w:rPr>
          <w:rFonts w:cs="Arial" w:ascii="Arial" w:hAnsi="Arial"/>
          <w:iCs/>
          <w:color w:val="000000"/>
          <w:sz w:val="20"/>
          <w:szCs w:val="20"/>
        </w:rPr>
        <w:t xml:space="preserve"> </w:t>
      </w:r>
      <w:r>
        <w:rPr>
          <w:rFonts w:cs="Arial" w:ascii="Arial" w:hAnsi="Arial"/>
          <w:iCs/>
          <w:color w:val="000000"/>
          <w:sz w:val="20"/>
          <w:szCs w:val="20"/>
        </w:rPr>
        <w:t xml:space="preserve">ANEXO I/A – Estudo Técnico Preliminar </w:t>
      </w:r>
    </w:p>
    <w:p>
      <w:pPr>
        <w:pStyle w:val="Normal"/>
        <w:widowControl/>
        <w:numPr>
          <w:ilvl w:val="0"/>
          <w:numId w:val="0"/>
        </w:numPr>
        <w:suppressAutoHyphens w:val="false"/>
        <w:bidi w:val="0"/>
        <w:spacing w:lineRule="auto" w:line="360" w:before="120" w:after="120"/>
        <w:ind w:left="720" w:right="0" w:hanging="0"/>
        <w:jc w:val="both"/>
        <w:rPr>
          <w:rFonts w:ascii="Arial" w:hAnsi="Arial" w:cs="Arial"/>
          <w:color w:val="000000"/>
          <w:sz w:val="20"/>
          <w:szCs w:val="20"/>
        </w:rPr>
      </w:pPr>
      <w:r>
        <w:rPr>
          <w:rFonts w:cs="Arial" w:ascii="Arial" w:hAnsi="Arial"/>
          <w:color w:val="000000"/>
          <w:sz w:val="20"/>
          <w:szCs w:val="20"/>
        </w:rPr>
        <w:t>27.12.2 ANEXO II – Minuta de Ata de Registro de Preços</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cs="Arial"/>
          <w:iCs/>
          <w:color w:val="000000"/>
          <w:sz w:val="20"/>
          <w:szCs w:val="20"/>
        </w:rPr>
      </w:pPr>
      <w:r>
        <w:rPr>
          <w:rFonts w:cs="Arial" w:ascii="Arial" w:hAnsi="Arial"/>
          <w:bCs/>
          <w:iCs/>
          <w:color w:val="000000"/>
          <w:sz w:val="20"/>
          <w:szCs w:val="20"/>
        </w:rPr>
        <w:t>27.12.3  ANEXO III – Minuta de Termo de Contrato</w:t>
      </w:r>
      <w:r>
        <w:rPr>
          <w:rFonts w:cs="Arial" w:ascii="Arial" w:hAnsi="Arial"/>
          <w:color w:val="000000"/>
          <w:sz w:val="20"/>
          <w:szCs w:val="20"/>
        </w:rPr>
        <w:t xml:space="preserve"> </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 w:cs="Arial"/>
          <w:color w:val="000000"/>
          <w:kern w:val="0"/>
          <w:sz w:val="20"/>
          <w:szCs w:val="20"/>
          <w:lang w:val="pt-BR" w:eastAsia="pt-BR" w:bidi="ar-SA"/>
        </w:rPr>
      </w:pPr>
      <w:r>
        <w:rPr>
          <w:rFonts w:eastAsia="" w:cs="Arial" w:ascii="Arial" w:hAnsi="Arial"/>
          <w:i w:val="false"/>
          <w:iCs w:val="false"/>
          <w:color w:val="000000"/>
          <w:kern w:val="0"/>
          <w:sz w:val="20"/>
          <w:szCs w:val="20"/>
          <w:lang w:val="pt-BR" w:eastAsia="pt-BR" w:bidi="ar-SA"/>
        </w:rPr>
        <w:t>27.12.4 ANEXO IV</w:t>
      </w:r>
      <w:r>
        <w:rPr>
          <w:rFonts w:eastAsia="" w:cs="Arial" w:ascii="Arial" w:hAnsi="Arial"/>
          <w:i/>
          <w:iCs/>
          <w:color w:val="000000"/>
          <w:kern w:val="0"/>
          <w:sz w:val="20"/>
          <w:szCs w:val="20"/>
          <w:lang w:val="pt-BR" w:eastAsia="pt-BR" w:bidi="ar-SA"/>
        </w:rPr>
        <w:t xml:space="preserve">– </w:t>
      </w:r>
      <w:r>
        <w:rPr>
          <w:rFonts w:eastAsia="" w:cs="Arial" w:ascii="Arial" w:hAnsi="Arial"/>
          <w:b w:val="false"/>
          <w:i w:val="false"/>
          <w:color w:val="000000"/>
          <w:kern w:val="0"/>
          <w:sz w:val="20"/>
          <w:szCs w:val="20"/>
          <w:lang w:val="pt-BR" w:eastAsia="pt-BR" w:bidi="ar-SA"/>
        </w:rPr>
        <w:t>Modelo de Declaração de Sustentabilidade</w:t>
      </w:r>
    </w:p>
    <w:p>
      <w:pPr>
        <w:pStyle w:val="Normal"/>
        <w:numPr>
          <w:ilvl w:val="0"/>
          <w:numId w:val="0"/>
        </w:numPr>
        <w:tabs>
          <w:tab w:val="clear" w:pos="720"/>
          <w:tab w:val="left" w:pos="1440" w:leader="none"/>
        </w:tabs>
        <w:snapToGrid w:val="false"/>
        <w:spacing w:lineRule="auto" w:line="360" w:before="120" w:after="120"/>
        <w:ind w:left="720" w:hanging="0"/>
        <w:jc w:val="both"/>
        <w:rPr>
          <w:rFonts w:ascii="Arial" w:hAnsi="Arial" w:eastAsia="" w:cs="Arial"/>
          <w:color w:val="000000"/>
          <w:kern w:val="0"/>
          <w:sz w:val="20"/>
          <w:szCs w:val="20"/>
          <w:lang w:val="pt-BR" w:eastAsia="pt-BR" w:bidi="ar-SA"/>
        </w:rPr>
      </w:pPr>
      <w:r>
        <w:rPr>
          <w:rFonts w:eastAsia="" w:cs="Arial" w:ascii="Arial" w:hAnsi="Arial"/>
          <w:color w:val="000000"/>
          <w:kern w:val="0"/>
          <w:sz w:val="20"/>
          <w:szCs w:val="20"/>
          <w:lang w:val="pt-BR" w:eastAsia="pt-BR" w:bidi="ar-SA"/>
        </w:rPr>
      </w:r>
    </w:p>
    <w:p>
      <w:pPr>
        <w:pStyle w:val="Normal"/>
        <w:spacing w:lineRule="auto" w:line="360" w:before="240" w:after="240"/>
        <w:ind w:left="360" w:right="0" w:firstLine="709"/>
        <w:jc w:val="right"/>
        <w:rPr>
          <w:rFonts w:ascii="Arial" w:hAnsi="Arial" w:cs="Arial"/>
          <w:color w:val="000000"/>
          <w:sz w:val="20"/>
          <w:szCs w:val="20"/>
        </w:rPr>
      </w:pPr>
      <w:r>
        <w:rPr>
          <w:rFonts w:cs="Arial" w:ascii="Arial" w:hAnsi="Arial"/>
          <w:color w:val="000000"/>
          <w:sz w:val="20"/>
          <w:szCs w:val="20"/>
          <w:lang w:eastAsia="pt-BR"/>
        </w:rPr>
        <w:t>Petrolina-PE</w:t>
      </w:r>
      <w:r>
        <w:rPr>
          <w:rFonts w:cs="Arial" w:ascii="Arial" w:hAnsi="Arial"/>
          <w:color w:val="000000"/>
          <w:sz w:val="20"/>
          <w:szCs w:val="20"/>
        </w:rPr>
        <w:t xml:space="preserve">, </w:t>
      </w:r>
      <w:r>
        <w:rPr>
          <w:rFonts w:eastAsia="" w:cs="Arial" w:ascii="Arial" w:hAnsi="Arial"/>
          <w:color w:val="000000"/>
          <w:kern w:val="0"/>
          <w:sz w:val="20"/>
          <w:szCs w:val="20"/>
          <w:lang w:val="pt-BR" w:eastAsia="pt-BR" w:bidi="ar-SA"/>
        </w:rPr>
        <w:t>07</w:t>
      </w:r>
      <w:r>
        <w:rPr>
          <w:rFonts w:cs="Arial" w:ascii="Arial" w:hAnsi="Arial"/>
          <w:color w:val="000000"/>
          <w:sz w:val="20"/>
          <w:szCs w:val="20"/>
        </w:rPr>
        <w:t xml:space="preserve"> de </w:t>
      </w:r>
      <w:r>
        <w:rPr>
          <w:rFonts w:eastAsia="" w:cs="Arial" w:ascii="Arial" w:hAnsi="Arial"/>
          <w:color w:val="000000"/>
          <w:kern w:val="0"/>
          <w:sz w:val="20"/>
          <w:szCs w:val="20"/>
          <w:lang w:val="pt-BR" w:eastAsia="pt-BR" w:bidi="ar-SA"/>
        </w:rPr>
        <w:t>dezembro</w:t>
      </w:r>
      <w:r>
        <w:rPr>
          <w:rFonts w:cs="Arial" w:ascii="Arial" w:hAnsi="Arial"/>
          <w:color w:val="000000"/>
          <w:sz w:val="20"/>
          <w:szCs w:val="20"/>
        </w:rPr>
        <w:t xml:space="preserve"> de 2021</w:t>
      </w:r>
    </w:p>
    <w:p>
      <w:pPr>
        <w:pStyle w:val="Normal"/>
        <w:spacing w:lineRule="auto" w:line="360" w:before="240" w:after="240"/>
        <w:ind w:right="0"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360" w:before="240" w:after="240"/>
        <w:ind w:firstLine="709"/>
        <w:jc w:val="center"/>
        <w:rPr>
          <w:rFonts w:ascii="Arial" w:hAnsi="Arial" w:cs="Arial"/>
          <w:sz w:val="20"/>
          <w:szCs w:val="20"/>
        </w:rPr>
      </w:pPr>
      <w:r>
        <w:rPr>
          <w:rFonts w:cs="Arial" w:ascii="Arial" w:hAnsi="Arial"/>
          <w:sz w:val="20"/>
          <w:szCs w:val="20"/>
        </w:rPr>
      </w:r>
    </w:p>
    <w:p>
      <w:pPr>
        <w:pStyle w:val="Normal"/>
        <w:spacing w:lineRule="auto" w:line="240" w:before="126" w:after="126"/>
        <w:ind w:firstLine="709"/>
        <w:jc w:val="center"/>
        <w:rPr/>
      </w:pPr>
      <w:r>
        <w:rPr>
          <w:rFonts w:cs="Arial" w:ascii="Arial" w:hAnsi="Arial"/>
          <w:b/>
          <w:bCs/>
          <w:iCs/>
          <w:color w:val="000000"/>
          <w:sz w:val="20"/>
          <w:szCs w:val="20"/>
        </w:rPr>
        <w:t xml:space="preserve">Maria Leopoldina Veras Camelo </w:t>
      </w:r>
    </w:p>
    <w:p>
      <w:pPr>
        <w:pStyle w:val="Normal"/>
        <w:spacing w:lineRule="auto" w:line="240" w:before="126" w:after="126"/>
        <w:ind w:firstLine="709"/>
        <w:jc w:val="center"/>
        <w:rPr/>
      </w:pPr>
      <w:r>
        <w:rPr>
          <w:rFonts w:cs="Arial" w:ascii="Arial" w:hAnsi="Arial"/>
          <w:b/>
          <w:bCs/>
          <w:iCs/>
          <w:color w:val="000000"/>
          <w:sz w:val="20"/>
          <w:szCs w:val="20"/>
        </w:rPr>
        <w:t>Reitora do IF Sertão/PE</w:t>
      </w:r>
    </w:p>
    <w:p>
      <w:pPr>
        <w:pStyle w:val="Normal"/>
        <w:rPr/>
      </w:pPr>
      <w:r>
        <w:rPr/>
      </w:r>
    </w:p>
    <w:sectPr>
      <w:headerReference w:type="default" r:id="rId6"/>
      <w:footerReference w:type="default" r:id="rId7"/>
      <w:type w:val="nextPage"/>
      <w:pgSz w:w="11906" w:h="16838"/>
      <w:pgMar w:left="1701" w:right="1134" w:header="1418" w:top="2989"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G Times">
    <w:altName w:val="MS Gothic"/>
    <w:charset w:val="00"/>
    <w:family w:val="roman"/>
    <w:pitch w:val="variable"/>
  </w:font>
  <w:font w:name="Helvetica-Bold">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anchor behindDoc="1" distT="0" distB="0" distL="0" distR="7620" simplePos="0" locked="0" layoutInCell="1" allowOverlap="1" relativeHeight="29">
          <wp:simplePos x="0" y="0"/>
          <wp:positionH relativeFrom="column">
            <wp:posOffset>2611120</wp:posOffset>
          </wp:positionH>
          <wp:positionV relativeFrom="paragraph">
            <wp:posOffset>-145415</wp:posOffset>
          </wp:positionV>
          <wp:extent cx="523875" cy="474345"/>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454" t="-452" r="-454" b="-452"/>
                  <a:stretch>
                    <a:fillRect/>
                  </a:stretch>
                </pic:blipFill>
                <pic:spPr bwMode="auto">
                  <a:xfrm>
                    <a:off x="0" y="0"/>
                    <a:ext cx="523875" cy="474345"/>
                  </a:xfrm>
                  <a:prstGeom prst="rect">
                    <a:avLst/>
                  </a:prstGeom>
                </pic:spPr>
              </pic:pic>
            </a:graphicData>
          </a:graphic>
        </wp:anchor>
      </w:drawing>
    </w:r>
  </w:p>
  <w:p>
    <w:pPr>
      <w:pStyle w:val="Normal"/>
      <w:jc w:val="center"/>
      <w:rPr/>
    </w:pPr>
    <w:r>
      <w:rPr/>
    </w:r>
  </w:p>
  <w:p>
    <w:pPr>
      <w:pStyle w:val="Normal"/>
      <w:jc w:val="center"/>
      <w:rPr>
        <w:rFonts w:ascii="Times New Roman" w:hAnsi="Times New Roman" w:eastAsia="Times New Roman" w:cs="Times New Roman"/>
        <w:b/>
        <w:b/>
        <w:color w:val="00000A"/>
        <w:sz w:val="16"/>
        <w:szCs w:val="16"/>
      </w:rPr>
    </w:pP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b/>
        <w:b/>
        <w:color w:val="00000A"/>
        <w:sz w:val="16"/>
        <w:szCs w:val="16"/>
      </w:rPr>
    </w:pPr>
    <w:r>
      <w:rPr>
        <w:rFonts w:eastAsia="Times New Roman" w:cs="Times New Roman" w:ascii="Times New Roman" w:hAnsi="Times New Roman"/>
        <w:b/>
        <w:color w:val="00000A"/>
        <w:sz w:val="16"/>
        <w:szCs w:val="16"/>
      </w:rPr>
      <w:t>SECRETARIA DA EDUCAÇÃO PROFISSIONAL E TECNOLÓGICA</w:t>
    </w:r>
  </w:p>
  <w:p>
    <w:pPr>
      <w:pStyle w:val="Normal"/>
      <w:jc w:val="center"/>
      <w:rPr>
        <w:rFonts w:ascii="Times New Roman" w:hAnsi="Times New Roman" w:eastAsia="Times New Roman" w:cs="Times New Roman"/>
        <w:b/>
        <w:b/>
        <w:color w:val="00000A"/>
        <w:sz w:val="16"/>
        <w:szCs w:val="16"/>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rFonts w:ascii="Times New Roman" w:hAnsi="Times New Roman" w:eastAsia="Times New Roman" w:cs="Times New Roman"/>
        <w:b/>
        <w:b/>
        <w:color w:val="00000A"/>
        <w:sz w:val="16"/>
        <w:szCs w:val="16"/>
      </w:rPr>
    </w:pPr>
    <w:r>
      <w:rPr>
        <w:rFonts w:eastAsia="Times New Roman" w:cs="Times New Roman" w:ascii="Times New Roman" w:hAnsi="Times New Roman"/>
        <w:b/>
        <w:color w:val="00000A"/>
        <w:sz w:val="16"/>
        <w:szCs w:val="16"/>
      </w:rPr>
      <w:t>REITORIA/PROAD/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szCs w:val="20"/>
        <w:rFonts w:cs="Arial"/>
        <w:color w:val="00000A"/>
      </w:rPr>
    </w:lvl>
    <w:lvl w:ilvl="2">
      <w:start w:val="1"/>
      <w:numFmt w:val="decimal"/>
      <w:lvlText w:val="%1.%2.%3."/>
      <w:lvlJc w:val="left"/>
      <w:pPr>
        <w:tabs>
          <w:tab w:val="num" w:pos="0"/>
        </w:tabs>
        <w:ind w:left="1638" w:hanging="504"/>
      </w:pPr>
      <w:rPr>
        <w:dstrike w:val="false"/>
        <w:strike w:val="false"/>
        <w:sz w:val="20"/>
        <w:i w:val="false"/>
        <w:b w:val="false"/>
        <w:szCs w:val="20"/>
        <w:rFonts w:cs="Arial"/>
        <w:color w:val="00000A"/>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bCs w:val="false"/>
        <w:rFonts w:cs="Arial"/>
        <w:color w:val="00000A"/>
      </w:rPr>
    </w:lvl>
    <w:lvl w:ilvl="2">
      <w:start w:val="1"/>
      <w:numFmt w:val="decimal"/>
      <w:lvlText w:val="%1.%2.%3."/>
      <w:lvlJc w:val="left"/>
      <w:pPr>
        <w:tabs>
          <w:tab w:val="num" w:pos="0"/>
        </w:tabs>
        <w:ind w:left="1638" w:hanging="504"/>
      </w:pPr>
      <w:rPr>
        <w:dstrike w:val="false"/>
        <w:strike w:val="false"/>
        <w:sz w:val="20"/>
        <w:i w:val="false"/>
        <w:b w:val="false"/>
        <w:szCs w:val="20"/>
        <w:rFonts w:cs="Arial"/>
        <w:color w:val="00000A"/>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a3a05"/>
    <w:pPr>
      <w:widowControl/>
      <w:suppressAutoHyphens w:val="false"/>
      <w:bidi w:val="0"/>
      <w:spacing w:before="0" w:after="0"/>
      <w:jc w:val="left"/>
    </w:pPr>
    <w:rPr>
      <w:rFonts w:ascii="Ecofont_Spranq_eco_Sans" w:hAnsi="Ecofont_Spranq_eco_Sans" w:eastAsia="" w:cs="Tahoma" w:eastAsiaTheme="minorEastAsia"/>
      <w:color w:val="00000A"/>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0"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blinkBackground"/>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ntepargpadro3">
    <w:name w:val="Fonte parág. padrão3"/>
    <w:qFormat/>
    <w:rPr/>
  </w:style>
  <w:style w:type="character" w:styleId="Fontepargpadro1">
    <w:name w:val="Fonte parág. padrão1"/>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etexto">
    <w:name w:val="Corpo de texto"/>
    <w:basedOn w:val="Normal"/>
    <w:qFormat/>
    <w:pPr>
      <w:widowControl/>
      <w:suppressAutoHyphens w:val="true"/>
      <w:overflowPunct w:val="false"/>
      <w:bidi w:val="0"/>
      <w:jc w:val="left"/>
    </w:pPr>
    <w:rPr>
      <w:rFonts w:ascii="CG Times;MS Gothic" w:hAnsi="CG Times;MS Gothic" w:eastAsia="Arial" w:cs="CG Times;MS Gothic"/>
      <w:color w:val="000000"/>
      <w:sz w:val="24"/>
      <w:szCs w:val="20"/>
      <w:lang w:val="en-US" w:eastAsia="zh-CN" w:bidi="ar-SA"/>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20"/>
        <w:tab w:val="center" w:pos="4252" w:leader="none"/>
        <w:tab w:val="right" w:pos="8504" w:leader="none"/>
      </w:tabs>
    </w:pPr>
    <w:rPr/>
  </w:style>
  <w:style w:type="paragraph" w:styleId="Rodap">
    <w:name w:val="Footer"/>
    <w:basedOn w:val="Normal"/>
    <w:link w:val="RodapChar"/>
    <w:uiPriority w:val="99"/>
    <w:rsid w:val="00ca24fb"/>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20"/>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00000A"/>
      <w:kern w:val="0"/>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suppressAutoHyphens w:val="true"/>
      <w:bidi w:val="0"/>
      <w:spacing w:lineRule="auto" w:line="276" w:before="120" w:after="120"/>
      <w:jc w:val="both"/>
    </w:pPr>
    <w:rPr>
      <w:rFonts w:ascii="Ecofont_Spranq_eco_Sans" w:hAnsi="Ecofont_Spranq_eco_Sans" w:eastAsia="Arial Unicode MS" w:cs="Times New Roman"/>
      <w:color w:val="00000A"/>
      <w:kern w:val="0"/>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NoSpacing">
    <w:name w:val="No Spacing"/>
    <w:qFormat/>
    <w:pPr>
      <w:widowControl w:val="false"/>
      <w:suppressAutoHyphens w:val="true"/>
      <w:overflowPunct w:val="fals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name w:val="Padrão"/>
    <w:qFormat/>
    <w:pPr>
      <w:widowControl/>
      <w:tabs>
        <w:tab w:val="clear" w:pos="720"/>
        <w:tab w:val="left" w:pos="567" w:leader="none"/>
      </w:tabs>
      <w:suppressAutoHyphens w:val="true"/>
      <w:overflowPunct w:val="fals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116</TotalTime>
  <Application>LibreOffice/6.4.6.2$Windows_X86_64 LibreOffice_project/0ce51a4fd21bff07a5c061082cc82c5ed232f115</Application>
  <Pages>28</Pages>
  <Words>9275</Words>
  <Characters>52165</Characters>
  <CharactersWithSpaces>61184</CharactersWithSpaces>
  <Paragraphs>380</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2020-05-22T19:40:00Z</dcterms:created>
  <dc:creator>Manoel Paz</dc:creator>
  <dc:description/>
  <dc:language>pt-BR</dc:language>
  <cp:lastModifiedBy/>
  <cp:lastPrinted>2019-10-10T16:52:00Z</cp:lastPrinted>
  <dcterms:modified xsi:type="dcterms:W3CDTF">2021-12-07T10:48:41Z</dcterms:modified>
  <cp:revision>20</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