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Unidades Demandantes: </w:t>
      </w:r>
      <w:r>
        <w:rPr>
          <w:rFonts w:cs="Times New Roman" w:ascii="Times New Roman" w:hAnsi="Times New Roman"/>
          <w:color w:val="00000A"/>
          <w:highlight w:val="white"/>
          <w:lang w:bidi="ar-SA"/>
        </w:rPr>
        <w:t>Reitoria e campis do IF Sertão PE</w:t>
      </w:r>
    </w:p>
    <w:p>
      <w:pPr>
        <w:pStyle w:val="Default"/>
        <w:spacing w:before="120" w:after="120"/>
        <w:rPr>
          <w:rFonts w:eastAsia="Times New Roman"/>
          <w:b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>
        <w:rPr>
          <w:rStyle w:val="Fontepargpadro"/>
          <w:rFonts w:cs="Arial"/>
          <w:b/>
          <w:bCs/>
          <w:color w:val="000000"/>
          <w:szCs w:val="20"/>
          <w:highlight w:val="white"/>
        </w:rPr>
        <w:t xml:space="preserve">Aquisição parcelada de Gás Liquefeito de Petróleo (GLP) </w:t>
      </w:r>
      <w:r>
        <w:rPr>
          <w:rFonts w:eastAsia="Arial"/>
          <w:bCs/>
        </w:rPr>
        <w:t xml:space="preserve"> para atender as necessidades dos campi do Instituto Federal de Educação, Ciência e Tecnologia do Sertão Pernambucano/IFSertãoPE</w:t>
      </w:r>
    </w:p>
    <w:p>
      <w:pPr>
        <w:pStyle w:val="LOnormal"/>
        <w:spacing w:lineRule="auto" w:line="360"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/2022/PROAD/Reitoria/IF Sertão-PE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3" w:after="0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pt-BR" w:eastAsia="zh-CN" w:bidi="hi-IN"/>
              </w:rPr>
              <w:t>I – RELATÓRIO</w:t>
            </w:r>
          </w:p>
        </w:tc>
      </w:tr>
    </w:tbl>
    <w:p>
      <w:pPr>
        <w:pStyle w:val="LOnormal"/>
        <w:widowControl/>
        <w:spacing w:before="284" w:after="228"/>
        <w:ind w:left="22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LOnormal"/>
        <w:ind w:left="2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rFonts w:cs="Times New Roman" w:ascii="Times New Roman" w:hAnsi="Times New Roman"/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720" w:hanging="0"/>
        <w:jc w:val="both"/>
        <w:rPr/>
      </w:pPr>
      <w:r>
        <w:rPr>
          <w:rFonts w:cs="Times New Roman" w:ascii="Times New Roman" w:hAnsi="Times New Roman"/>
          <w:b/>
        </w:rPr>
        <w:t xml:space="preserve">2.1 </w:t>
      </w:r>
      <w:r>
        <w:rPr>
          <w:rFonts w:cs="Times New Roman" w:ascii="Times New Roman" w:hAnsi="Times New Roman"/>
        </w:rPr>
        <w:t>A partir desses elementos e outros presentes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consolidação da demanda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 xml:space="preserve">estudo técnico preliminar e no termo de referência </w:t>
      </w:r>
      <w:r>
        <w:rPr>
          <w:rFonts w:cs="Times New Roman" w:ascii="Times New Roman" w:hAnsi="Times New Roman"/>
        </w:rPr>
        <w:t>será possível definir a</w:t>
      </w:r>
      <w:r>
        <w:rPr>
          <w:rFonts w:cs="Times New Roman" w:ascii="Times New Roman" w:hAnsi="Times New Roman"/>
          <w:b/>
        </w:rPr>
        <w:t xml:space="preserve"> modalidade da licitação, critério de julgamento, modo de disputa, valor estimado ou máximo aceitável, </w:t>
      </w:r>
      <w:r>
        <w:rPr>
          <w:rFonts w:cs="Times New Roman" w:ascii="Times New Roman" w:hAnsi="Times New Roman"/>
        </w:rPr>
        <w:t>com também se o</w:t>
      </w:r>
      <w:r>
        <w:rPr>
          <w:rFonts w:cs="Times New Roman" w:ascii="Times New Roman" w:hAnsi="Times New Roman"/>
          <w:b/>
        </w:rPr>
        <w:t xml:space="preserve"> valor referencial deve ou não constar expressamente do edital.</w:t>
      </w:r>
    </w:p>
    <w:p>
      <w:pPr>
        <w:pStyle w:val="LOnormal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57" w:after="57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 – DA ANÁLISE</w:t>
            </w:r>
          </w:p>
        </w:tc>
      </w:tr>
    </w:tbl>
    <w:p>
      <w:pPr>
        <w:pStyle w:val="LOnormal"/>
        <w:spacing w:lineRule="auto" w:line="360" w:before="57" w:after="57"/>
        <w:ind w:left="2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II.1 Justificativa da Necessidade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Especificamente no que toca ao procedimento licitatório na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modalidade de pregão</w:t>
      </w:r>
      <w:r>
        <w:rPr>
          <w:rFonts w:eastAsia="Times New Roman" w:cs="Times New Roman" w:ascii="Times New Roman" w:hAnsi="Times New Roman"/>
          <w:color w:val="000000"/>
        </w:rPr>
        <w:t>, 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art. 3º, inciso I, da Lei nº 10.520/02 </w:t>
      </w:r>
      <w:r>
        <w:rPr>
          <w:rFonts w:cs="Times New Roman" w:ascii="Times New Roman" w:hAnsi="Times New Roman"/>
        </w:rPr>
        <w:t>impõe</w:t>
      </w:r>
      <w:r>
        <w:rPr>
          <w:rFonts w:eastAsia="Times New Roman" w:cs="Times New Roman" w:ascii="Times New Roman" w:hAnsi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eastAsia="Times New Roman" w:cs="Times New Roman" w:ascii="Times New Roman" w:hAnsi="Times New Roman"/>
          <w:b/>
          <w:color w:val="000000"/>
        </w:rPr>
        <w:t>IN nº 5, de 26 de maio de 2017 – SEGES/MPDG</w:t>
      </w:r>
      <w:r>
        <w:rPr>
          <w:rFonts w:eastAsia="Times New Roman" w:cs="Times New Roman" w:ascii="Times New Roman" w:hAnsi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Segundo Súmula 177 TCU 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SÚMULA 177 -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8.</w:t>
      </w:r>
      <w:r>
        <w:rPr>
          <w:rFonts w:eastAsia="Times New Roman" w:cs="Times New Roman" w:ascii="Times New Roman" w:hAnsi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 No presente caso, os campi justificaram a necessidade da aquisição, conforme   constam no Tópico 2 dos Estudos Técnicos Preliminares, como também no Documento de Consolidação da Demanda dos campi participantes e presentes no Processo.</w:t>
      </w:r>
    </w:p>
    <w:p>
      <w:pPr>
        <w:pStyle w:val="LOnormal"/>
        <w:widowControl/>
        <w:spacing w:before="114" w:after="114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9.1 Na identificação da necessidade, a justificativa da contratação com exposição da sua motivação e dos benefícios dela resultantes, foi retratada especificamente neste Tópico, como também por cada uma das Unidades do IF Sertão – PE presente nos documentos de Consolidação das Demandas de acordo com a obrigatoriedade imposta pela legislação em vigor.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LOnormal"/>
        <w:spacing w:lineRule="auto" w:line="360"/>
        <w:ind w:left="28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Estimativa da Quantidade (Memória de Cálculo)</w:t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  <w:color w:val="000000"/>
        </w:rPr>
        <w:t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etc.).</w:t>
      </w:r>
    </w:p>
    <w:p>
      <w:pPr>
        <w:pStyle w:val="LOnormal"/>
        <w:spacing w:lineRule="auto" w:line="36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 xml:space="preserve">12. No presente caso, os quantitativos foram estabelecidos na Memória de Cálculo emitida por Setor das Unidades do IFSertãoPE, fazendo constar no </w:t>
      </w:r>
      <w:r>
        <w:rPr>
          <w:rFonts w:eastAsia="Times New Roman" w:cs="Times New Roman" w:ascii="Times New Roman" w:hAnsi="Times New Roman"/>
          <w:color w:val="FF3333"/>
          <w:u w:val="single"/>
        </w:rPr>
        <w:t>Sistema de Controle de Aquisição de Bens e Serviços – SICABS</w:t>
      </w:r>
      <w:r>
        <w:rPr>
          <w:rFonts w:eastAsia="Times New Roman" w:cs="Times New Roman" w:ascii="Times New Roman" w:hAnsi="Times New Roman"/>
          <w:color w:val="FF3333"/>
        </w:rPr>
        <w:t xml:space="preserve">. Os quantitativos estimados, segundo a memória de cálculo, foram baseados no </w:t>
      </w:r>
      <w:r>
        <w:rPr>
          <w:rFonts w:eastAsia="Times New Roman" w:cs="Times New Roman" w:ascii="Times New Roman" w:hAnsi="Times New Roman"/>
          <w:color w:val="000000"/>
        </w:rPr>
        <w:t xml:space="preserve">consumo do exercício anterior, </w:t>
      </w:r>
      <w:r>
        <w:rPr>
          <w:rFonts w:eastAsia="Times New Roman" w:cs="Times New Roman" w:ascii="Times New Roman" w:hAnsi="Times New Roman"/>
          <w:color w:val="FF3333"/>
        </w:rPr>
        <w:t>visando atender as demandas relacionadas as atividades rotineiras institucionais.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spacing w:lineRule="auto" w:line="36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13</w:t>
      </w:r>
      <w:r>
        <w:rPr>
          <w:rFonts w:eastAsia="Times New Roman" w:cs="Times New Roman" w:ascii="Times New Roman" w:hAnsi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15. O TCU também se manifesta em relação ao assunto orientando que a Administração obtenha, no mínimo, três cotações válidas. Se não for possível, deve consignar a justificativa nos autos.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16.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17.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LOnormal"/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18. No presente caso, ficou demonstrado nos autos que o Setor de Compras e Formação de Preços /DLIC/Reitoria concluiu 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>na d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>ata de 12/07/2021 as pesquisas de preços, que foram a realizadas da seguinte forma: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1"/>
        </w:numPr>
        <w:spacing w:before="0" w:after="113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Preços de 01 a 0</w:t>
      </w:r>
      <w:r>
        <w:rPr>
          <w:rFonts w:eastAsia="Times New Roman" w:cs="Times New Roman" w:ascii="Times New Roman" w:hAnsi="Times New Roman"/>
          <w:b/>
          <w:bCs/>
          <w:color w:val="000000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Sites da internet, preços públicos registrados e diretamente como os fornecedores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lineRule="auto" w:line="276"/>
        <w:ind w:left="34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1</w:t>
      </w:r>
      <w:r>
        <w:rPr>
          <w:rFonts w:eastAsia="Times New Roman" w:cs="Times New Roman" w:ascii="Times New Roman" w:hAnsi="Times New Roman"/>
          <w:b/>
        </w:rPr>
        <w:t>9</w:t>
      </w:r>
      <w:r>
        <w:rPr>
          <w:rFonts w:eastAsia="Times New Roman" w:cs="Times New Roman" w:ascii="Times New Roman" w:hAnsi="Times New Roman"/>
          <w:b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Foi verificado que para a formação de preços foram utilizados os </w:t>
      </w:r>
      <w:r>
        <w:rPr>
          <w:rFonts w:eastAsia="Times New Roman" w:cs="Times New Roman" w:ascii="Times New Roman" w:hAnsi="Times New Roman"/>
        </w:rPr>
        <w:t xml:space="preserve">incisos </w:t>
      </w:r>
      <w:r>
        <w:rPr>
          <w:rStyle w:val="Fontepargpadro"/>
          <w:rFonts w:eastAsia="Arial" w:cs="Arial" w:ascii="Arial" w:hAnsi="Arial"/>
          <w:color w:val="000000"/>
          <w:sz w:val="22"/>
          <w:szCs w:val="22"/>
          <w:shd w:fill="FFFFFF" w:val="clear"/>
        </w:rPr>
        <w:t>I e II, do art 5º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do, IN nº 073, de 05/08/2020. Para elaboração do Relatório de Cotação, utilizou-se a ferramenta “Banco de Preços” (https://www.bancodeprecos.com.br/Account/LogIn?ReturnUrl=%2f), adquirido pelo IF Sertão-PE como parâmetro inicial na fase de cotação. Desta forma, buscou-se uma composição de cesta de preços mais próxima possível do valor estimado que melhor atendesse a disputa de lances e competitividade entre os licitantes durante o certame licitatório.</w:t>
      </w:r>
    </w:p>
    <w:p>
      <w:pPr>
        <w:pStyle w:val="LOnormal"/>
        <w:widowControl/>
        <w:ind w:left="34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20. Verificou-se t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>ambém que foi adotada a média dos valores obtidos nas pesquisas de preços como metodologi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>a para obtenção do preço de referência para a contratação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>. Desta forma, buscou-se afastar preços excessivamente elevados e/ou inexequíveis, e o melhor pr</w:t>
      </w:r>
      <w:r>
        <w:rPr>
          <w:rFonts w:eastAsia="Times New Roman" w:cs="Times New Roman" w:ascii="Times New Roman" w:hAnsi="Times New Roman"/>
          <w:color w:val="000000"/>
        </w:rPr>
        <w:t>eço compatível para o objeto em disputa, em consonância com o artigo 6º, § 2º da IN nº 73/2020.</w:t>
      </w:r>
    </w:p>
    <w:p>
      <w:pPr>
        <w:pStyle w:val="LOnormal"/>
        <w:spacing w:lineRule="auto" w:line="276" w:before="0" w:after="240"/>
        <w:ind w:left="426" w:hanging="0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</w:rPr>
        <w:t>21.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LOnormal"/>
        <w:tabs>
          <w:tab w:val="clear" w:pos="720"/>
          <w:tab w:val="left" w:pos="1418" w:leader="none"/>
        </w:tabs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tabs>
          <w:tab w:val="clear" w:pos="720"/>
          <w:tab w:val="left" w:pos="141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II.4 Da Modalidade de Licitação e o Critério de Julgamento</w:t>
      </w:r>
    </w:p>
    <w:p>
      <w:pPr>
        <w:pStyle w:val="LOnormal"/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A natureza do objeto especificada no Termo de Referência é comum, tendo em vista que se consideram bens comuns, conforme disposto no artigo 1º, da Lei 10.520, de 2002, pois os padrões de desempenho e qualidade podem ser objetivamente definidos no edital, por meio de especificações usuais no mercado</w:t>
      </w:r>
      <w:r>
        <w:rPr>
          <w:rFonts w:cs="Times New Roman" w:ascii="Times New Roman" w:hAnsi="Times New Roman"/>
          <w:b/>
        </w:rPr>
        <w:t xml:space="preserve">.  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A aquisição dar-se-á através de Sistema de Registro de Preços – SRP, pois as ações estão enquadradas nas hipóteses do(s) incisos I, II e III do art. 3º do Decreto nº 7.892, ao passo que o IF Sertão Pernambucano e suas unidades tratam-se de unidades gerenciais distintas com contratações frequentes e entregas parceladas.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24. Considerando o exposto e com base nas definições na versão inicial do termo de referência e Estudo Técnico Preliminar 23/2021 e o exposto acima a modalidade a ser adotada para a realização desse certame licitatório deverá ser o </w:t>
      </w:r>
      <w:r>
        <w:rPr>
          <w:rFonts w:cs="Times New Roman" w:ascii="Times New Roman" w:hAnsi="Times New Roman"/>
          <w:b/>
        </w:rPr>
        <w:t>Pregão Eletrônico por Sistema de Registro de Preços – SRP.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</w:rPr>
        <w:t xml:space="preserve"> O critério de julgamento será o MENOR PREÇO por ITEM </w:t>
      </w:r>
      <w:r>
        <w:rPr>
          <w:rFonts w:cs="Times New Roman" w:ascii="Times New Roman" w:hAnsi="Times New Roman"/>
        </w:rPr>
        <w:t>E GRUPO</w:t>
      </w:r>
      <w:r>
        <w:rPr>
          <w:rFonts w:cs="Times New Roman" w:ascii="Times New Roman" w:hAnsi="Times New Roman"/>
        </w:rPr>
        <w:t xml:space="preserve">, </w:t>
      </w:r>
      <w:bookmarkStart w:id="0" w:name="gjdgxs"/>
      <w:bookmarkEnd w:id="0"/>
      <w:r>
        <w:rPr>
          <w:rFonts w:cs="Times New Roman" w:ascii="Times New Roman" w:hAnsi="Times New Roman"/>
        </w:rPr>
        <w:t xml:space="preserve">CONFORME subitem 1.5 do Termo de Referência,  </w:t>
      </w:r>
      <w:r>
        <w:rPr>
          <w:rFonts w:cs="Times New Roman" w:ascii="Times New Roman" w:hAnsi="Times New Roman"/>
        </w:rPr>
        <w:t>pois para a contratação em destaque a ficou bem definido o objeto e seus respectivos quantitativos.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II.5 Preço Estimado ou Preço Máximo Aceitável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26. Para a contratação do presente objeto, deverá ser adotado o </w:t>
      </w:r>
      <w:r>
        <w:rPr>
          <w:rFonts w:cs="Times New Roman" w:ascii="Times New Roman" w:hAnsi="Times New Roman"/>
          <w:b/>
        </w:rPr>
        <w:t>preço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máximo aceitável</w:t>
      </w:r>
      <w:r>
        <w:rPr>
          <w:rFonts w:cs="Times New Roman" w:ascii="Times New Roman" w:hAnsi="Times New Roman"/>
        </w:rPr>
        <w:t>, sendo que será desclassificada a proposta ou o lance vencedor com valor superior máximo estipulado pela administração no edital.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FF"/>
        </w:rPr>
        <w:br/>
        <w:t xml:space="preserve"> </w:t>
      </w:r>
      <w:r>
        <w:rPr>
          <w:rFonts w:cs="Times New Roman" w:ascii="Times New Roman" w:hAnsi="Times New Roman"/>
          <w:b/>
          <w:color w:val="000000"/>
        </w:rPr>
        <w:t>II.6 Modo de Disputa da Licitação</w:t>
      </w:r>
      <w:bookmarkStart w:id="1" w:name="_GoBack"/>
      <w:bookmarkEnd w:id="1"/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27. O modo de disputa para essa licitação será o </w:t>
      </w:r>
      <w:r>
        <w:rPr>
          <w:rFonts w:cs="Times New Roman" w:ascii="Times New Roman" w:hAnsi="Times New Roman"/>
          <w:b/>
        </w:rPr>
        <w:t>aberto e fechado</w:t>
      </w:r>
      <w:r>
        <w:rPr>
          <w:rFonts w:cs="Times New Roman" w:ascii="Times New Roman" w:hAnsi="Times New Roman"/>
        </w:rPr>
        <w:t>, tendo em vista a vantajosidade em termos de ganho de tempo na operacionalização do pregão, além de que o objeto a ser contratado é bastante amplo no mercado</w:t>
      </w:r>
      <w:r>
        <w:rPr>
          <w:rFonts w:cs="Times New Roman" w:ascii="Times New Roman" w:hAnsi="Times New Roman"/>
          <w:color w:val="0000FF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4" w:after="114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III - CONCLUSÃO</w:t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28. Ante o exposto, a proposição de </w:t>
      </w:r>
      <w:r>
        <w:rPr>
          <w:rStyle w:val="Fontepargpadro"/>
          <w:rFonts w:cs="Arial" w:ascii="Times New Roman" w:hAnsi="Times New Roman"/>
          <w:b/>
          <w:bCs/>
          <w:color w:val="000000"/>
          <w:szCs w:val="20"/>
          <w:highlight w:val="white"/>
        </w:rPr>
        <w:t>Aquisição parcelada de Gás Liquefeito de Petróleo (GLP)</w:t>
      </w:r>
      <w:r>
        <w:rPr>
          <w:rFonts w:eastAsia="Arial" w:cs="Times New Roman" w:ascii="Times New Roman" w:hAnsi="Times New Roman"/>
          <w:b/>
        </w:rPr>
        <w:t xml:space="preserve"> </w:t>
      </w:r>
      <w:r>
        <w:rPr>
          <w:rFonts w:eastAsia="Arial" w:cs="Times New Roman" w:ascii="Times New Roman" w:hAnsi="Times New Roman"/>
          <w:bCs/>
        </w:rPr>
        <w:t>para atender as necessidades dos campi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color w:val="00000A"/>
          <w:highlight w:val="white"/>
        </w:rPr>
        <w:t>para atender as Unidades do Instituto Federal do Sertão Pernambucano – IF Sertão-PE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é viável</w:t>
      </w:r>
      <w:r>
        <w:rPr>
          <w:rFonts w:cs="Times New Roman" w:ascii="Times New Roman" w:hAnsi="Times New Roman"/>
          <w:color w:val="000000"/>
        </w:rPr>
        <w:t>, uma vez que foram observados todos os pontos dispostos no presente relatório.</w:t>
      </w:r>
    </w:p>
    <w:p>
      <w:pPr>
        <w:pStyle w:val="LOnormal"/>
        <w:spacing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Petrolina - PE, _______ de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>janeiro</w:t>
      </w:r>
      <w:r>
        <w:rPr>
          <w:rFonts w:cs="Times New Roman" w:ascii="Times New Roman" w:hAnsi="Times New Roman"/>
          <w:color w:val="000000"/>
        </w:rPr>
        <w:t xml:space="preserve"> de 202</w:t>
      </w:r>
      <w:r>
        <w:rPr>
          <w:rFonts w:cs="Times New Roman" w:ascii="Times New Roman" w:hAnsi="Times New Roman"/>
          <w:color w:val="000000"/>
        </w:rPr>
        <w:t>2</w:t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/>
        <w:spacing w:before="57" w:after="57"/>
        <w:jc w:val="center"/>
        <w:rPr/>
      </w:pPr>
      <w:r>
        <w:rPr>
          <w:b/>
        </w:rPr>
        <w:t>Pró-Reitor</w:t>
      </w:r>
      <w:r>
        <w:rPr>
          <w:b/>
        </w:rPr>
        <w:t>a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 </w:t>
      </w:r>
      <w:r>
        <w:rPr>
          <w:rFonts w:eastAsia="Times New Roman" w:cs="Times New Roman" w:ascii="Times New Roman" w:hAnsi="Times New Roman"/>
          <w:b/>
          <w:color w:val="000000"/>
        </w:rPr>
        <w:t>em Exercício</w:t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LOnormal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27" w:right="1134" w:header="708" w:top="1134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right="49" w:hanging="0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LO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rsid w:val="00180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LibreOffice/7.0.6.2$Windows_X86_64 LibreOffice_project/144abb84a525d8e30c9dbbefa69cbbf2d8d4ae3b</Application>
  <AppVersion>15.0000</AppVersion>
  <Pages>5</Pages>
  <Words>1775</Words>
  <Characters>9857</Characters>
  <CharactersWithSpaces>11600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2021-06-16T17:52:00Z</dcterms:created>
  <dc:creator>USUARIO</dc:creator>
  <dc:description/>
  <dc:language>pt-BR</dc:language>
  <cp:lastModifiedBy/>
  <dcterms:modified xsi:type="dcterms:W3CDTF">2022-01-13T19:47:55Z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