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0"/>
          <w:szCs w:val="24"/>
        </w:rPr>
      </w:pPr>
      <w:r>
        <w:rPr>
          <w:rFonts w:cs="Calibri" w:cstheme="minorHAnsi"/>
          <w:b/>
          <w:bCs/>
          <w:sz w:val="30"/>
          <w:szCs w:val="24"/>
        </w:rPr>
        <w:t>LISTAS DE VERIFICAÇÃO PARA CONTRATAÇÃO DE SERVIÇOS (SALVO DE ENGENHARIA E DE TECNOLOGIA DA INFORMAÇÃO E COMUNICAÇÃO)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Obs.1: Na coluna “ESTADO” preencher apenas com as letras “S”, “N”, “N.A.”, sendo: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S – SIM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N – NÃO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N.A.– NÃO SE APLICA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Obs.2: Na utilização da presente lista deverão ser analisadas e verificadas as consequências para cada negativa, se pode ser suprida por justificativas ou enquadramentos específicos ou se deve haver complementação da instrução.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 3: O agente que vier a utilizar esta lista deverá remover as seções que não se aplicarem ao caso.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0"/>
        <w:gridCol w:w="1133"/>
      </w:tblGrid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VERIFICAÇÃO COMUM A TODAS AS CONTRATAÇÕES DE SERVIÇOS COMUNS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t-BR" w:eastAsia="en-US" w:bidi="ar-SA"/>
              </w:rPr>
              <w:t xml:space="preserve">Obs: essa lista refere-se a serviços comuns, excluindo-se contratação de solução de TI e serviços de engenharia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ESTADO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S/N/ N.A.</w:t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1. </w:t>
            </w: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t-BR" w:eastAsia="en-US" w:bidi="ar-SA"/>
              </w:rPr>
              <w:t xml:space="preserve">Houve abertura de processo administrativo devidamente autuado e numerado, quando processo físico, ou registrado quando processo eletrônico, nos termos da ON-AGU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nº 2/2009?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Obs.: Dispõe a ON-AGU 2/2009: “</w:t>
            </w:r>
            <w:r>
              <w:rPr>
                <w:rFonts w:eastAsia="Calibri" w:cs="Calibri" w:cstheme="minorHAnsi"/>
                <w:i/>
                <w:iCs/>
                <w:color w:val="FF0000"/>
                <w:kern w:val="0"/>
                <w:sz w:val="24"/>
                <w:szCs w:val="24"/>
                <w:lang w:val="pt-BR" w:eastAsia="en-US" w:bidi="ar-SA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2. Consta o documento de formalização da demanda, elaborado pelo setor requisitante do serviço, nos termos do modelo do Anexo II, IN SEGES 05/2017?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2.1. A contratação NÃO incide nas hipóteses vedadas pelo art. 9º da IN SEGES 05/2017?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2.2 Há manifestação sobre a observância do alinhamento com o Plano Estratégico do órgão ou entidade, quando houver? (art. 1º, inc. III, IN SEGES 05/2017)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2.3. Da solicitação/requisição constam os itens do inciso I do art. 21 da IN/SEGES 5/2017?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2.4. O objeto requisitado está contemplado no Plano Anual de Contratações, de acordo com a IN SEGES nº 1/2019?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3. Foi instituída Equipe de Planejamento da Contratação pela autoridade competente do setor de licitação? (art. 21, inc. III, IN/SEGES 5/2017 )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4. Foi elaborado e juntado ao processo os Estudos Preliminares, conforme as diretrizes constantes da IN SEGES/MP nº 40/2020? (art. 20, art. 24 da IN SEGES/MP nº 5/2017 e IN SEGES/ME nº 40/2020)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Obs.1:  O art. 8º, I da IN SEGES/ME nº 40/2020 estabelece que é facultada a elaboração dos Estudos Preliminares nas hipóteses dos incisos I, II, III, IV e XI do art. 24 da Lei nº 8.666, de 21 de junho de 1993.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Obs.2:  Nas contratações que utilizam especificações padronizadas estabelecidos nos Cadernos de Logística divulgados pela Secretaria de Gestão, poderão ser produzidos somente os element</w:t>
            </w:r>
            <w:bookmarkStart w:id="0" w:name="_GoBack"/>
            <w:bookmarkEnd w:id="0"/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os que não forem estabelecidos como padrão (art. 7º, §3º da IN SEGES/ME nº 40/2020)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B05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4.1. Os estudos desenvolvidos atenderam a todas as exigências do art. 7º da IN SEGES 40/2020?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4.2. A não previsão, nos estudos preliminares, de qualquer dos conteúdos do art. 7º da IN SEGES/ME nº 40/2020 foi devidamente justificada no próprio documento? (art. 7º, §2º, da IN SEGES/ME nº 40/2020)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highlight w:val="yellow"/>
                <w:lang w:val="pt-BR" w:eastAsia="en-US" w:bidi="ar-SA"/>
              </w:rPr>
              <w:t xml:space="preserve">4.3. </w:t>
            </w:r>
            <w:r>
              <w:rPr>
                <w:rStyle w:val="Eop"/>
                <w:rFonts w:eastAsia="Calibri"/>
                <w:kern w:val="0"/>
                <w:sz w:val="24"/>
                <w:szCs w:val="24"/>
                <w:highlight w:val="yellow"/>
                <w:lang w:val="pt-BR" w:eastAsia="en-US" w:bidi="ar-SA"/>
              </w:rPr>
              <w:t>Consta a aprovação do Estudo Técnico Preliminar pela autoridade competente? (art. 14, inciso II, do Decreto n.º 10.024/19)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5. Foi elaborado e junto aos autos o Mapa de Riscos previsto no art. 26, §1º, incisos I e II, de acordo com o modelo do anexo IV da IN/SEGES 5/2017? (arts. 20 e 26 da IN/SEGES 5/2017)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Obs.:  O §2º do artigo 20 da IN 05/2017 estabelece que ficam dispensadas</w:t>
            </w:r>
            <w:r>
              <w:rPr>
                <w:rFonts w:eastAsia="Calibri" w:cs="Calibri" w:cstheme="minorHAnsi"/>
                <w:b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da elaboração do mapa de riscos, na fase de planejamento da contratação, as contratações de serviços cujos valores se enquadrem nos limites dos incisos I e II do art. 24 da Lei nº 8.666, de 1993.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Style w:val="Eop"/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5.1. O mapa confeccionado atende às exigências do art. 25 da IN/SEGES 5/2017?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5.2. No caso de serviços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com regime de dedicação exclusiva de mão de obra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both"/>
              <w:textAlignment w:val="baseline"/>
              <w:rPr>
                <w:rStyle w:val="Eop"/>
                <w:rFonts w:cs="Calibri" w:cstheme="minorHAnsi"/>
              </w:rPr>
            </w:pP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lang w:val="pt-BR" w:bidi="ar-SA"/>
              </w:rPr>
              <w:t>5.2.1. Optou-se por uma das formas de controle interno previstas no §1º do art. 18 da IN/SEGES 5/2017 (conta-depósito vinculada ou pagamento pelo fato gerador)?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cs="Calibri" w:cstheme="minorHAnsi"/>
                <w:kern w:val="0"/>
                <w:lang w:val="pt-BR" w:bidi="ar-SA"/>
              </w:rPr>
              <w:t xml:space="preserve">5.2.2. 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lang w:val="pt-BR" w:bidi="ar-SA"/>
              </w:rPr>
              <w:t>Justificou a opção na forma do §2º do mesmo artigo 18?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bidi="ar-SA"/>
              </w:rPr>
              <w:t xml:space="preserve">6. O Termo de Referência ou Projeto Básico elaborado pelo setor requisitante baseou-se nos Estudos Técnicos Preliminares, Gerenciamento de Riscos e Diretrizes constantes do Anexo V, da IN 5/2017?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en-US" w:bidi="ar-SA"/>
              </w:rPr>
              <w:t>(art. 3º, XI do Decreto 10.024/19, art. 27 e 28, §2º, IN/SEGES 05/2017)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6.1. Foram utilizados os modelos de minutas padronizadas de Termo de Referência da Advocacia-Geral da União, observadas as diretrizes dispostas no Anexo V da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en-US" w:eastAsia="en-US" w:bidi="ar-SA"/>
              </w:rPr>
              <w:t xml:space="preserve">IN/SEGES 05/2017?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6.1.1. Foram justificadas e destacadas visualmente, no processo, eventuais alterações ou não utilização do modelo de termo de referência da AGU?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7. Foram observadas as orientações dos Cadernos de Logística expedidos pela Secretaria de Gestão do Ministério da Economia, no que couber? (art. 29, IN/SEGES 05/2017)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ascii="Calibri" w:hAnsi="Calibri" w:asciiTheme="minorHAnsi" w:hAnsiTheme="minorHAnsi"/>
                <w:kern w:val="0"/>
                <w:lang w:val="pt-BR" w:bidi="ar-SA"/>
              </w:rPr>
              <w:t>8. Houve consulta ao “Guia Nacional de Licitações Sustentáveis”, da CGU/AGU, com manifestação sobre práticas e/ou critérios de sustentabilidade economicamente viáveis adotados na contratação? (IN SLTI/MP nº 1/2010, art. 5º)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lang w:val="pt-BR" w:bidi="ar-SA"/>
              </w:rPr>
              <w:t>9.  Consta a aprovação do termo de referência ou do projeto básico pela autoridade competente? (art. 14, II, do Decreto 10.024/19; art. 7º, §2º, I da Lei 8.666/93)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10. Constam estimativas detalhadas dos preços, com ampla pesquisa de mercado nos termos das Instruções Normativas SLTI/MP nº 5/2014 ou SEGES/ME nº 73/2020  (art. 3º, III, da Lei nº 10.520/02, art. 3º, XI, “a”, “2” do Decreto 10.024/19 e arts. 15, III,  43, IV da Lei nº 8.666/93, art. 7º, inc. V e VI da IN SEGES/ME nº 40/2020,  e art. 30, inc. X, da IN/SEGES nº 5/2017)?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10.1 Consta manifestação da área técnica com análise dos preços obtidos na pesquisa (art. 2º, §§ 1º a 6º da IN 5, de 2014)?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10.2 No caso de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serviços com dedicação exclusiva de mão de obra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, consta planilha de formação de preços nos termos do subitem 2.9, “b” do Anexo V da IN SEGES/MP nº 5/2017?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11. Tratando-se de atividade de custeio, foi observado o art. 3º do Decreto 10.193 c/c art. 3º da Portaria MP nº 249/2012?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12. Consta indicação do recurso orçamentário próprio para a despesa e da respectiva rubrica, caso não seja SRP? (art. 8º, IV, do Decreto 10.024/19 e arts. 7º, § 2º, III, 14 e 38, caput, da Lei 8.666/93)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pt-BR" w:eastAsia="en-US" w:bidi="ar-SA"/>
              </w:rPr>
              <w:t>12.1. Se for o caso, consta a estimativa do impacto orçamentário financeiro da despesa prevista no art. 16, inc. I da LC 101/2000 e a declaração prevista no art. 16, II do mesmo diploma na hipótese da despesa incidir no caput do art. 16? (ON/AGU 52/2014)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Obs. 1: ON AGU 52: “</w:t>
            </w:r>
            <w:r>
              <w:rPr>
                <w:rFonts w:eastAsia="Calibri" w:cs="Calibri" w:cstheme="minorHAnsi"/>
                <w:i/>
                <w:color w:val="FF0000"/>
                <w:kern w:val="0"/>
                <w:sz w:val="24"/>
                <w:szCs w:val="24"/>
                <w:lang w:val="pt-BR" w:eastAsia="en-US" w:bidi="ar-SA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.”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pt-BR" w:eastAsia="en-US" w:bidi="ar-SA"/>
              </w:rPr>
              <w:t>13. Foram utilizados os modelos padronizados de instrumentos contratuais da Advocacia-Geral União? (Art. 34 da IN SEGES/MP nº 5/2017).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50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pt-BR" w:eastAsia="en-US" w:bidi="ar-SA"/>
              </w:rPr>
              <w:t xml:space="preserve">13.1. Eventuais alterações nos modelos ou sua não utilização foram devidamente justificadas no processo?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74"/>
      </w:tblGrid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VERIFICAÇÃO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u w:val="single"/>
                <w:lang w:val="pt-BR" w:eastAsia="en-US" w:bidi="ar-SA"/>
              </w:rPr>
              <w:t>ESPECÍFICA PARA DISPENSA DE LICITAÇÃO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Cs/>
                <w:sz w:val="24"/>
                <w:szCs w:val="24"/>
                <w:u w:val="single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OBS: Nos termos da Orientação Normativa AGU nº 46, de 26/02/2014, a manifestação jurídica nas contratações diretas pelo pequeno valor (fundadas no art. 24, I e II da Lei nº 8.666/93) é dispensável quando inexistir dúvida jurídica e forem usadas minutas padronizadas (como as minutas da AGU).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t-BR" w:eastAsia="en-US" w:bidi="ar-SA"/>
              </w:rPr>
              <w:t>ESTADO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t-BR" w:eastAsia="en-US" w:bidi="ar-SA"/>
              </w:rPr>
              <w:t>S / N / N.A.</w:t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28. Houve justificativa do enquadramento ou não do objeto dentro das hipóteses do art. 24 da Lei nº 8.666/93 ou de legislação específica pertinente, com indicação expressa do fundamento legal utilizado?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 1: Orientação Normativa AGU n. 12, de 01/04/2009: Não se dispensa licitação, com fundamento nos incs. V e VII do art. 24 da lei nº 8.666, de 1993, caso   a   licitação   fracassada   ou   deserta   tenha   sido   realizada   na modalidade convite.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 2: Orientação Normativa n. 13, de 01/04/2009: empresa pública ou sociedade de economia mista que exerça atividade econômica não se enquadra como órgão ou entidade que integra a administração pública, para os fins de dispensa de licitação com fundamento no inc. VIII do art. 24 da lei nº 8.666, de 1993.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 3: Orientação Normativa n. 14, de 01/04/2009: Os  contratos  firmados  com  as  fundações  de  apoio  com  base  na  dispensa  de licitação  prevista  no  inc.  XIII  do  art.  24  da  lei  nº  8.666,  de  1993,  devem  estar diretamente  vinculados  a  projetos  com  definição  clara  do  objeto  e  com  prazo determinado,   sendo   vedadas   a   subcontratação;   a   contratação   de   serviços contínuos ou de manutenção; e a contratação de serviços destinados a atender as necessidades permanentes da instituição.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28.1. Nas hipóteses do art. 24, incisos IV e XXXV, houve demonstração da caracterização da situação emergencial, calamitosa ou de grave e iminente risco à segurança pública que justifique a dispensa, conforme o caso, nos termos do art. 26, parágrafo único, inciso I da Lei nº 8.666/93?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29. Constam dos autos as razões para escolha do executante a ser contratado?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30. Consta dos autos prova: a) de regularidade fiscal federal; b) de regularidade com a Seguridade Social; c) de regularidade com o Fundo de Garantia por Tempo de Serviço; d) de regularidade trabalhista; e) declaração de cumprimento do disposto no inciso XXXIII do art. 7o da Constituição Federal; e f) ausência de penalidade que vede a contratação com o órgão (artigo 27 e seguintes da Lei 8.666/1993)?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OBS: A consulta deve ser feita nos seguintes endereços: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a) SICAF;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b) Cadastro Nacional de Empresas Inidôneas e Suspensas - CEIS, mantido pela Controladoria-Geral da União (www.portaldatransparencia.gov.br/ceis);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c) Cadastro Nacional de Condenações Cíveis por Atos de Improbidade Administrativa, mantido pelo Conselho Nacional de Justiça (</w:t>
            </w:r>
            <w:hyperlink r:id="rId2">
              <w:r>
                <w:rPr>
                  <w:rStyle w:val="LinkdaInternet"/>
                  <w:rFonts w:eastAsia="Calibri" w:cs="Calibri" w:cstheme="minorHAnsi"/>
                  <w:color w:val="FF0000"/>
                  <w:kern w:val="0"/>
                  <w:sz w:val="24"/>
                  <w:szCs w:val="24"/>
                  <w:lang w:val="pt-BR" w:eastAsia="en-US" w:bidi="ar-SA"/>
                </w:rPr>
                <w:t>www.cnj.jus.br/improbidade_adm/consultar_requerido.php</w:t>
              </w:r>
            </w:hyperlink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).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d) Lista de Inidôneos, mantida pelo Tribunal de Contas da União – TCU (https://contas.tcu.gov.br/ords/f?p=INABILITADO:INIDONEOS);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 2: Para a consulta de licitantes pessoa jurídica poderá haver a substituição das consultas das alíneas “b”, “c” e “d” acima pela Consulta Consolidada de Pessoa Jurídica do TCU (</w:t>
            </w:r>
            <w:hyperlink r:id="rId3">
              <w:r>
                <w:rPr>
                  <w:rStyle w:val="LinkdaInternet"/>
                  <w:rFonts w:eastAsia="Calibri" w:cs="Calibri" w:cstheme="minorHAnsi"/>
                  <w:kern w:val="0"/>
                  <w:sz w:val="24"/>
                  <w:szCs w:val="24"/>
                  <w:lang w:val="pt-BR" w:eastAsia="en-US" w:bidi="ar-SA"/>
                </w:rPr>
                <w:t>https://certidoesapf.apps.tcu.gov.br/</w:t>
              </w:r>
            </w:hyperlink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31. Foi juntada aos autos consulta ao CADIN? (art. 6º, III da Lei nº 10.522/02)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OBS: Atente-se que o cadastro do CADIN é meramente informativo, de modo que a existência de pendências não impede a contratação.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32. Houve o reconhecimento da dispensa de licitação e a sua ratificação, nos termos do art. 26 da Lei nº 8.666/93, com a publicação do respectivo extrato, no prazo de 5 (cinco) dias?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OBS: Registre-se que a Orientação Normativa AGU n. 33, de 13/12/2011, dispensa a publicação do extrato contratual caso seja publicado o ato de autorização/ratificação da contratação direta.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 2: Nos termos da Orientação Normativa AGU n. 34, de 13/12/2011, as contratações diretas fundadas no art. 24, I e II da Lei nº 8.666/93 dispensam inclusive a publicação do ato que autoriza/ratifica a contratação direta, sem prejuízo de outros meios de publicidade do ato.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685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Serviços em Geral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Atualização: Dezembro/2020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pargrafoParecerChar" w:customStyle="1">
    <w:name w:val="L_parágrafo_Parecer Char"/>
    <w:basedOn w:val="CabealhoChar"/>
    <w:link w:val="LpargrafoParecer"/>
    <w:qFormat/>
    <w:rsid w:val="00b533f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33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2c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c2cc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c2cc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2ccc"/>
    <w:rPr>
      <w:rFonts w:ascii="Segoe UI" w:hAnsi="Segoe UI" w:cs="Segoe UI"/>
      <w:sz w:val="18"/>
      <w:szCs w:val="18"/>
    </w:rPr>
  </w:style>
  <w:style w:type="character" w:styleId="LinkdaInternet">
    <w:name w:val="Link da Internet"/>
    <w:uiPriority w:val="99"/>
    <w:unhideWhenUsed/>
    <w:rsid w:val="00fe2a42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3833d5"/>
    <w:rPr/>
  </w:style>
  <w:style w:type="character" w:styleId="Eop" w:customStyle="1">
    <w:name w:val="eop"/>
    <w:basedOn w:val="DefaultParagraphFont"/>
    <w:qFormat/>
    <w:rsid w:val="003f3978"/>
    <w:rPr/>
  </w:style>
  <w:style w:type="character" w:styleId="Linkdainternetvisitado">
    <w:name w:val="Link da internet visitado"/>
    <w:basedOn w:val="DefaultParagraphFont"/>
    <w:uiPriority w:val="99"/>
    <w:semiHidden/>
    <w:unhideWhenUsed/>
    <w:rsid w:val="009d0901"/>
    <w:rPr>
      <w:color w:val="954F72" w:themeColor="followedHyperlink"/>
      <w:u w:val="single"/>
    </w:rPr>
  </w:style>
  <w:style w:type="character" w:styleId="RodapChar" w:customStyle="1">
    <w:name w:val="Rodapé Char"/>
    <w:basedOn w:val="DefaultParagraphFont"/>
    <w:link w:val="Rodap"/>
    <w:qFormat/>
    <w:rsid w:val="00a7282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pargrafoParecer" w:customStyle="1">
    <w:name w:val="L_parágrafo_Parecer"/>
    <w:basedOn w:val="Cabealho"/>
    <w:link w:val="LpargrafoParecerChar"/>
    <w:autoRedefine/>
    <w:qFormat/>
    <w:rsid w:val="00b533f5"/>
    <w:pPr>
      <w:numPr>
        <w:ilvl w:val="0"/>
        <w:numId w:val="1"/>
      </w:numPr>
      <w:tabs>
        <w:tab w:val="clear" w:pos="4252"/>
        <w:tab w:val="clear" w:pos="8504"/>
        <w:tab w:val="left" w:pos="1418" w:leader="none"/>
      </w:tabs>
      <w:spacing w:before="0" w:after="240"/>
      <w:ind w:left="0" w:hanging="0"/>
      <w:jc w:val="both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c2c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c2c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2c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57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83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806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ONormal" w:customStyle="1">
    <w:name w:val="LO-Normal"/>
    <w:qFormat/>
    <w:rsid w:val="005e4e8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0"/>
      <w:sz w:val="24"/>
      <w:szCs w:val="24"/>
      <w:lang w:eastAsia="zh-CN" w:bidi="hi-IN" w:val="pt-BR"/>
    </w:rPr>
  </w:style>
  <w:style w:type="paragraph" w:styleId="Revision">
    <w:name w:val="Revision"/>
    <w:uiPriority w:val="99"/>
    <w:semiHidden/>
    <w:qFormat/>
    <w:rsid w:val="003d51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bf3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CUEpgrafe" w:customStyle="1">
    <w:name w:val="TCU - Epígrafe"/>
    <w:basedOn w:val="Normal"/>
    <w:qFormat/>
    <w:rsid w:val="00be5308"/>
    <w:pPr>
      <w:spacing w:lineRule="auto" w:line="240" w:before="0" w:after="0"/>
      <w:ind w:left="2835" w:hanging="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728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nj.jus.br/improbidade_adm/consultar_requerido.php" TargetMode="External"/><Relationship Id="rId3" Type="http://schemas.openxmlformats.org/officeDocument/2006/relationships/hyperlink" Target="https://certidoesapf.apps.tcu.gov.b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3434-6826-48FA-8994-647DE746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C077-44E2-4F55-94F6-5F0E7E0CAC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2c93ea8-e2de-466c-b401-d7fabeb949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D490D-C75E-4366-999E-8406A11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4</Pages>
  <Words>1776</Words>
  <Characters>9302</Characters>
  <CharactersWithSpaces>11106</CharactersWithSpaces>
  <Paragraphs>71</Paragraphs>
  <Company>Banco Central do Brasil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2020-12-18T01:29:00Z</dcterms:created>
  <dc:creator>Leandro Sarai</dc:creator>
  <dc:description/>
  <dc:language>pt-BR</dc:language>
  <cp:lastModifiedBy/>
  <cp:lastPrinted>2019-09-06T14:05:00Z</cp:lastPrinted>
  <dcterms:modified xsi:type="dcterms:W3CDTF">2022-03-07T15:02:37Z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48</vt:lpwstr>
  </property>
  <property fmtid="{D5CDD505-2E9C-101B-9397-08002B2CF9AE}" pid="3" name="AuthorIds_UIVersion_512">
    <vt:lpwstr>44</vt:lpwstr>
  </property>
  <property fmtid="{D5CDD505-2E9C-101B-9397-08002B2CF9AE}" pid="4" name="ContentTypeId">
    <vt:lpwstr>0x01010012A2765E7DFD38469B2E626874CD0041</vt:lpwstr>
  </property>
</Properties>
</file>