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Unidades Demandantes: </w:t>
      </w:r>
      <w:r>
        <w:rPr>
          <w:rFonts w:cs="Times New Roman" w:ascii="Times New Roman" w:hAnsi="Times New Roman"/>
          <w:color w:val="00000A"/>
          <w:highlight w:val="white"/>
          <w:lang w:bidi="ar-SA"/>
        </w:rPr>
        <w:t>Reitoria e campis do IF Sertão PE</w:t>
      </w:r>
    </w:p>
    <w:p>
      <w:pPr>
        <w:pStyle w:val="Default"/>
        <w:spacing w:before="120" w:after="120"/>
        <w:rPr>
          <w:rFonts w:eastAsia="Times New Roman"/>
          <w:b/>
          <w:b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>
        <w:rPr>
          <w:rFonts w:eastAsia="Arial" w:cs="Times New Roman"/>
          <w:b/>
          <w:bCs/>
          <w:i w:val="false"/>
          <w:iCs w:val="false"/>
          <w:color w:val="000000"/>
          <w:kern w:val="0"/>
          <w:sz w:val="24"/>
          <w:szCs w:val="24"/>
          <w:highlight w:val="white"/>
          <w:lang w:val="pt-BR" w:eastAsia="zh-CN" w:bidi="ar-SA"/>
        </w:rPr>
        <w:t xml:space="preserve">Aquisição de Equipamentos Energéticos Tipo: </w:t>
      </w:r>
      <w:r>
        <w:rPr>
          <w:rFonts w:eastAsia="Arial" w:cs="Times New Roman"/>
          <w:bCs/>
          <w:color w:val="000000"/>
          <w:kern w:val="0"/>
          <w:sz w:val="24"/>
          <w:szCs w:val="24"/>
          <w:lang w:val="pt-BR" w:eastAsia="zh-CN" w:bidi="ar-SA"/>
        </w:rPr>
        <w:t>Estabilizadores/Nobreaks</w:t>
      </w:r>
      <w:r>
        <w:rPr>
          <w:rFonts w:eastAsia="Arial" w:cs="Times New Roman"/>
          <w:b/>
          <w:bCs/>
          <w:i w:val="false"/>
          <w:iCs w:val="false"/>
          <w:color w:val="000000"/>
          <w:kern w:val="0"/>
          <w:sz w:val="24"/>
          <w:szCs w:val="24"/>
          <w:highlight w:val="white"/>
          <w:lang w:val="pt-BR" w:eastAsia="zh-CN" w:bidi="ar-SA"/>
        </w:rPr>
        <w:t xml:space="preserve"> </w:t>
      </w:r>
      <w:r>
        <w:rPr>
          <w:rFonts w:eastAsia="Arial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pt-BR" w:eastAsia="zh-CN" w:bidi="ar-SA"/>
        </w:rPr>
        <w:t xml:space="preserve">para </w:t>
      </w:r>
      <w:r>
        <w:rPr>
          <w:rFonts w:eastAsia="Arial" w:cs="Times New Roman"/>
          <w:bCs/>
          <w:color w:val="000000"/>
          <w:kern w:val="0"/>
          <w:sz w:val="24"/>
          <w:szCs w:val="24"/>
          <w:lang w:val="pt-BR" w:eastAsia="zh-CN" w:bidi="ar-SA"/>
        </w:rPr>
        <w:t xml:space="preserve"> atender as necessidades dos campi do Instituto Federal de Educação, Ciência e Tecnologia do Sertão Pernambucano/IFSertãoPE</w:t>
      </w:r>
    </w:p>
    <w:p>
      <w:pPr>
        <w:pStyle w:val="LOnormal"/>
        <w:spacing w:lineRule="auto" w:line="360" w:before="120" w:after="120"/>
        <w:jc w:val="center"/>
        <w:rPr>
          <w:rFonts w:ascii="Times New Roman" w:hAnsi="Times New Roman" w:eastAsia="Arial" w:cs="Times New Roman"/>
          <w:b/>
          <w:b/>
          <w:bCs/>
          <w:color w:val="000000"/>
          <w:kern w:val="0"/>
          <w:sz w:val="24"/>
          <w:szCs w:val="24"/>
          <w:lang w:val="pt-BR" w:eastAsia="zh-CN" w:bidi="ar-SA"/>
        </w:rPr>
      </w:pPr>
      <w:r>
        <w:rPr>
          <w:rFonts w:eastAsia="Arial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</w:r>
    </w:p>
    <w:p>
      <w:pPr>
        <w:pStyle w:val="LOnormal"/>
        <w:spacing w:lineRule="auto" w:line="360"/>
        <w:jc w:val="center"/>
        <w:rPr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/2022/PROAD/Reitoria/IF Sertão-PE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3" w:after="0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pt-BR" w:eastAsia="zh-CN" w:bidi="hi-IN"/>
              </w:rPr>
              <w:t>I – RELATÓRIO</w:t>
            </w:r>
          </w:p>
        </w:tc>
      </w:tr>
    </w:tbl>
    <w:p>
      <w:pPr>
        <w:pStyle w:val="LOnormal"/>
        <w:widowControl/>
        <w:spacing w:before="284" w:after="228"/>
        <w:ind w:left="22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>
      <w:pPr>
        <w:pStyle w:val="LOnormal"/>
        <w:ind w:left="22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rFonts w:cs="Times New Roman" w:ascii="Times New Roman" w:hAnsi="Times New Roman"/>
          <w:b/>
          <w:color w:val="000000"/>
        </w:rPr>
        <w:t>justificativa da necessidade, estimativa da quantidade com a respectiva memória de cálculo e a estimativa de preços (preços referenciais).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ind w:left="720" w:hanging="0"/>
        <w:jc w:val="both"/>
        <w:rPr/>
      </w:pPr>
      <w:r>
        <w:rPr>
          <w:rFonts w:cs="Times New Roman" w:ascii="Times New Roman" w:hAnsi="Times New Roman"/>
          <w:b/>
        </w:rPr>
        <w:t xml:space="preserve">2.1 </w:t>
      </w:r>
      <w:r>
        <w:rPr>
          <w:rFonts w:cs="Times New Roman" w:ascii="Times New Roman" w:hAnsi="Times New Roman"/>
        </w:rPr>
        <w:t>A partir desses elementos e outros presentes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</w:rPr>
        <w:t>consolidação da demanda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 xml:space="preserve">estudo técnico preliminar e no termo de referência </w:t>
      </w:r>
      <w:r>
        <w:rPr>
          <w:rFonts w:cs="Times New Roman" w:ascii="Times New Roman" w:hAnsi="Times New Roman"/>
        </w:rPr>
        <w:t>será possível definir a</w:t>
      </w:r>
      <w:r>
        <w:rPr>
          <w:rFonts w:cs="Times New Roman" w:ascii="Times New Roman" w:hAnsi="Times New Roman"/>
          <w:b/>
        </w:rPr>
        <w:t xml:space="preserve"> modalidade da licitação, critério de julgamento, modo de disputa, valor estimado ou máximo aceitável, </w:t>
      </w:r>
      <w:r>
        <w:rPr>
          <w:rFonts w:cs="Times New Roman" w:ascii="Times New Roman" w:hAnsi="Times New Roman"/>
        </w:rPr>
        <w:t>com também se o</w:t>
      </w:r>
      <w:r>
        <w:rPr>
          <w:rFonts w:cs="Times New Roman" w:ascii="Times New Roman" w:hAnsi="Times New Roman"/>
          <w:b/>
        </w:rPr>
        <w:t xml:space="preserve"> valor referencial deve ou não constar expressamente do edital.</w:t>
      </w:r>
    </w:p>
    <w:p>
      <w:pPr>
        <w:pStyle w:val="LOnormal"/>
        <w:ind w:left="72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Onormal"/>
        <w:widowControl w:val="false"/>
        <w:suppressAutoHyphens w:val="true"/>
        <w:bidi w:val="0"/>
        <w:spacing w:before="0" w:after="0"/>
        <w:ind w:left="737" w:right="0" w:hanging="0"/>
        <w:jc w:val="both"/>
        <w:rPr/>
      </w:pPr>
      <w:r>
        <w:rPr>
          <w:rFonts w:cs="Times New Roman" w:ascii="Times New Roman" w:hAnsi="Times New Roman"/>
          <w:b/>
        </w:rPr>
        <w:t xml:space="preserve">2.2 . Será </w:t>
      </w:r>
      <w:r>
        <w:rPr>
          <w:rFonts w:cs="Times New Roman" w:ascii="TimesNewRomanPSMT" w:hAnsi="TimesNewRomanPSMT"/>
          <w:b/>
          <w:sz w:val="22"/>
        </w:rPr>
        <w:t xml:space="preserve">informado ainda, nesta análise a natureza da ação que suporta a despesa </w:t>
      </w:r>
      <w:r>
        <w:rPr>
          <w:rFonts w:ascii="TimesNewRomanPSMT" w:hAnsi="TimesNewRomanPSMT"/>
          <w:sz w:val="22"/>
        </w:rPr>
        <w:t>decorrente da futura contratação, adotando, a depender do caso, as providências previstas no art. 16, incisos I e II, da Lei de Responsabilidade Fiscal, com as premissas da estimativa de impacto orçamentário-financeiro e a metodologia de cálculos, utilizados (art. 16, §2º, da Lei Complementar n.º 101/2000).</w:t>
      </w:r>
    </w:p>
    <w:p>
      <w:pPr>
        <w:pStyle w:val="LOnormal"/>
        <w:jc w:val="both"/>
        <w:rPr/>
      </w:pPr>
      <w:r>
        <w:rPr>
          <w:b/>
          <w:color w:val="FF3333"/>
        </w:rPr>
        <w:t xml:space="preserve"> </w:t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57" w:after="57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 – DA ANÁLISE</w:t>
            </w:r>
          </w:p>
        </w:tc>
      </w:tr>
    </w:tbl>
    <w:p>
      <w:pPr>
        <w:pStyle w:val="LOnormal"/>
        <w:spacing w:lineRule="auto" w:line="360" w:before="57" w:after="57"/>
        <w:ind w:left="2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II.1 Justificativa da Necessidade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Especificamente no que toca ao procedimento licitatório na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modalidade de pregão</w:t>
      </w:r>
      <w:r>
        <w:rPr>
          <w:rFonts w:eastAsia="Times New Roman" w:cs="Times New Roman" w:ascii="Times New Roman" w:hAnsi="Times New Roman"/>
          <w:color w:val="000000"/>
        </w:rPr>
        <w:t>, o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art. 3º, inciso I, da Lei nº 10.520/02 </w:t>
      </w:r>
      <w:r>
        <w:rPr>
          <w:rFonts w:cs="Times New Roman" w:ascii="Times New Roman" w:hAnsi="Times New Roman"/>
        </w:rPr>
        <w:t>impõe</w:t>
      </w:r>
      <w:r>
        <w:rPr>
          <w:rFonts w:eastAsia="Times New Roman" w:cs="Times New Roman" w:ascii="Times New Roman" w:hAnsi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eastAsia="Times New Roman" w:cs="Times New Roman" w:ascii="Times New Roman" w:hAnsi="Times New Roman"/>
          <w:b/>
          <w:color w:val="000000"/>
        </w:rPr>
        <w:t>IN nº 5, de 26 de maio de 2017 – SEGES/MPDG</w:t>
      </w:r>
      <w:r>
        <w:rPr>
          <w:rFonts w:eastAsia="Times New Roman" w:cs="Times New Roman" w:ascii="Times New Roman" w:hAnsi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Segundo Súmula 177 TCU o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SÚMULA 177 –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em uma das especificações mínimas e essenciais à definição do objeto do pregão.</w:t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8.</w:t>
      </w:r>
      <w:r>
        <w:rPr>
          <w:rFonts w:eastAsia="Times New Roman" w:cs="Times New Roman" w:ascii="Times New Roman" w:hAnsi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 No presente caso, os campi justificaram a necessidade da aquisição, conforme constam no Tópico 2 dos Estudos Técnicos Preliminares, como também no Documento de Consolidação da Demanda dos campi participantes e Termo de Referência Item 3 presentes no Processo.</w:t>
      </w:r>
    </w:p>
    <w:p>
      <w:pPr>
        <w:pStyle w:val="LOnormal"/>
        <w:widowControl/>
        <w:spacing w:before="114" w:after="114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9.1 Na identificação da necessidade, a justificativa da contratação com exposição da sua motivação e dos benefícios dela resultantes, foi retratada especificamente nestes Tópicos, como também por cada uma das Unidades do IF Sertão – PE presente nos documentos de Consolidação das Demandas de acordo com a obrigatoriedade imposta pela legislação em vigor.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LOnormal"/>
        <w:widowControl w:val="false"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Estimativa da Quantidade (Memória de Cálculo)</w:t>
      </w:r>
    </w:p>
    <w:p>
      <w:pPr>
        <w:pStyle w:val="LOnormal"/>
        <w:widowControl w:val="false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  <w:color w:val="000000"/>
        </w:rPr>
        <w:t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etc.).</w:t>
      </w:r>
    </w:p>
    <w:p>
      <w:pPr>
        <w:pStyle w:val="LO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LO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>
      <w:pPr>
        <w:pStyle w:val="LOnormal"/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 xml:space="preserve">12. No presente caso, os quantitativos foram estabelecidos na Memória de Cálculo emitida por Setor das Unidades do IFSertãoPE, fazendo constar no </w:t>
      </w:r>
      <w:r>
        <w:rPr>
          <w:rFonts w:eastAsia="Times New Roman" w:cs="Times New Roman" w:ascii="Times New Roman" w:hAnsi="Times New Roman"/>
          <w:color w:val="FF3333"/>
          <w:u w:val="single"/>
        </w:rPr>
        <w:t>Sistema de Controle de Aquisição de Bens e Serviços – SICABS</w:t>
      </w:r>
      <w:r>
        <w:rPr>
          <w:rFonts w:eastAsia="Times New Roman" w:cs="Times New Roman" w:ascii="Times New Roman" w:hAnsi="Times New Roman"/>
          <w:color w:val="FF3333"/>
        </w:rPr>
        <w:t xml:space="preserve">. Os quantitativos estimados, segundo a memória de cálculo, foram baseados no _______( </w:t>
      </w:r>
      <w:r>
        <w:rPr>
          <w:rFonts w:eastAsia="Times New Roman" w:cs="Times New Roman" w:ascii="Times New Roman" w:hAnsi="Times New Roman"/>
          <w:color w:val="000000"/>
        </w:rPr>
        <w:t>Ex: consumo do exercício anterior, necessidade de substituição dos bens atualmente disponíveis, implantação de setor, acréscimo de atividades, etc),</w:t>
      </w:r>
      <w:r>
        <w:rPr>
          <w:rFonts w:eastAsia="Times New Roman" w:cs="Times New Roman" w:ascii="Times New Roman" w:hAnsi="Times New Roman"/>
          <w:color w:val="FF3333"/>
        </w:rPr>
        <w:t xml:space="preserve"> visando atender as demandas relacionadas as atividades rotineiras institucionais, tais como aulas práticas, pesquisas, etc, adequadas à necessidade do demandante.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spacing w:lineRule="auto" w:line="36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II.3. Estimativa de Preços (Preços Referenciais/Pesquisa de Preço)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13</w:t>
      </w:r>
      <w:r>
        <w:rPr>
          <w:rFonts w:eastAsia="Times New Roman" w:cs="Times New Roman" w:ascii="Times New Roman" w:hAnsi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15. O TCU também se manifesta em relação ao assunto orientando que a Administração obtenha, no mínimo, três cotações válidas. Se não for possível, deve consignar a justificativa nos autos.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16.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17.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redução nos preços obtidos pelas cotações prévias ao certame.</w:t>
      </w:r>
    </w:p>
    <w:p>
      <w:pPr>
        <w:pStyle w:val="LOnormal"/>
        <w:tabs>
          <w:tab w:val="clear" w:pos="720"/>
          <w:tab w:val="left" w:pos="0" w:leader="none"/>
        </w:tabs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18.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em conformidade com a Instrução Normativa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>n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º 73 de 05 de agosto de 2020, os preços constantes atendem ao Inc. I, Art. 5º, (Portal de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Compras do Governo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>Federal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– </w:t>
      </w:r>
      <w:hyperlink r:id="rId2" w:tgtFrame="_top">
        <w:r>
          <w:rPr>
            <w:rStyle w:val="LinkdaInternet"/>
            <w:rFonts w:eastAsia="Arial" w:cs="Arial" w:ascii="Times New Roman" w:hAnsi="Times New Roman"/>
            <w:color w:val="1155CC"/>
            <w:sz w:val="24"/>
            <w:szCs w:val="24"/>
          </w:rPr>
          <w:t>https://www.gov.br/compras/pt-br</w:t>
        </w:r>
      </w:hyperlink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). Sendo um total </w:t>
      </w:r>
      <w:r>
        <w:rPr>
          <w:rStyle w:val="Fontepargpadro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 xml:space="preserve">de Preços Coletados variando de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03 até 07 </w:t>
      </w:r>
      <w:r>
        <w:rPr>
          <w:rStyle w:val="Fontepargpadro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onde foi utilizado o parâmetro do Inciso I, através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sistema eletrônico “Banco de Preços” (https://www.bancodeprecos.com.br), contratado pelo IFSertãoPE, com inserção de resultados homologados. Foi utilizado ainda preço coletado em sites eletrônicos, parâmetro do Inciso III e também preços coletados diretamente com o fornecedor pessoa jurídica(parâmetro do Inciso IV).</w:t>
      </w:r>
    </w:p>
    <w:p>
      <w:pPr>
        <w:pStyle w:val="LOnormal"/>
        <w:tabs>
          <w:tab w:val="clear" w:pos="720"/>
          <w:tab w:val="left" w:pos="0" w:leader="none"/>
        </w:tabs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Portal de Compras do Governo Federal-https://www.gov.br/compras/pt-br; Cópia de resultados de licitações realizadas e homologadas, ferramenta auxiliar na pesquisa: Banco de Preços. Sites de Internet e Empresa Easy Tech – CNPJ 05.462.543/0001-44.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1"/>
        </w:numPr>
        <w:spacing w:before="0" w:after="113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Preços de 01 a 07:</w:t>
      </w:r>
      <w:r>
        <w:rPr>
          <w:rFonts w:eastAsia="Times New Roman" w:cs="Times New Roman" w:ascii="Times New Roman" w:hAnsi="Times New Roman"/>
          <w:color w:val="000000"/>
        </w:rPr>
        <w:t xml:space="preserve"> Sites da internet, preços públicos registrados e diretamente como os fornecedores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19. Verificou-se também que foi adotada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como metodologia para </w:t>
      </w:r>
      <w:r>
        <w:rPr>
          <w:rStyle w:val="Fontepargpadro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obtenção do preço de referência a média de preços, justificado pelo Art. 6º, § 3º da IN nº 73/2020 (os preços coletados devem ser analisados de forma crítica, em especial, quando houver grande variação entre os valores apresentados). Desta forma, buscou-se afastar preços excessivamente elevados e/ou inexequíveis, e o melhor preço compatível para o objeto em disputa, em consonância com o artigo 6º, § 2º da IN nº 73/2020. </w:t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20. 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>
      <w:pPr>
        <w:pStyle w:val="LOnormal"/>
        <w:spacing w:lineRule="auto" w:line="276" w:before="0" w:after="0"/>
        <w:ind w:left="426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II.4 Da Modalidade de Licitação e o Critério de Julgamento</w:t>
      </w:r>
    </w:p>
    <w:p>
      <w:pPr>
        <w:pStyle w:val="LOnormal"/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A natureza do objeto especificada no Termo de Referência é comum, tendo em vista que se consideram bens comuns, conforme disposto no artigo 1º, da Lei 10.520, de 2002, pois os padrões de desempenho e qualidade podem ser objetivamente definidos no edital, por meio de especificações usuais no mercado</w:t>
      </w:r>
      <w:r>
        <w:rPr>
          <w:rFonts w:cs="Times New Roman" w:ascii="Times New Roman" w:hAnsi="Times New Roman"/>
          <w:b/>
        </w:rPr>
        <w:t xml:space="preserve">. 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A aquisição dar-se-á através de Sistema de Registro de Preços – SRP, pois as ações estão enquadradas nas hipóteses do(s) incisos II e III do art. 3º do Decreto nº 7.892, ao passo que o IF Sertão Pernambucano e suas unidades tratam-se de unidades gerenciais distintas com contratações frequentes e entregas parceladas.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23. Considerando o exposto e com base nas definições na versão inicial do termo de referência e Estudo Técnico Preliminar e o exposto acima a modalidade a ser adotada para a realização desse certame licitatório deverá ser o </w:t>
      </w:r>
      <w:r>
        <w:rPr>
          <w:rFonts w:cs="Times New Roman" w:ascii="Times New Roman" w:hAnsi="Times New Roman"/>
          <w:b/>
        </w:rPr>
        <w:t>Pregão Eletrônico por Sistema de Registro de Preços – SRP.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</w:rPr>
        <w:t xml:space="preserve"> O critério de julgamento será o MENOR PREÇO por ITEM, </w:t>
      </w:r>
      <w:bookmarkStart w:id="0" w:name="gjdgxs"/>
      <w:bookmarkEnd w:id="0"/>
      <w:r>
        <w:rPr>
          <w:rFonts w:cs="Times New Roman" w:ascii="Times New Roman" w:hAnsi="Times New Roman"/>
        </w:rPr>
        <w:t>pois para a presente contratação ficou bem definido o objeto e seus respectivos quantitativos.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0" w:after="0"/>
        <w:ind w:left="283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0" w:after="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II.5 Preço Estimado ou Preço Máximo Aceitável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25. Para a contratação do presente objeto, deverá ser adotado o </w:t>
      </w:r>
      <w:r>
        <w:rPr>
          <w:rFonts w:cs="Times New Roman" w:ascii="Times New Roman" w:hAnsi="Times New Roman"/>
          <w:b/>
        </w:rPr>
        <w:t>preço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máximo aceitável</w:t>
      </w:r>
      <w:r>
        <w:rPr>
          <w:rFonts w:cs="Times New Roman" w:ascii="Times New Roman" w:hAnsi="Times New Roman"/>
        </w:rPr>
        <w:t>, sendo que será desclassificada a proposta ou o lance vencedor com valor superior máximo estipulado pela administração no edital.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FF"/>
        </w:rPr>
        <w:br/>
        <w:t xml:space="preserve"> </w:t>
      </w:r>
      <w:r>
        <w:rPr>
          <w:rFonts w:cs="Times New Roman" w:ascii="Times New Roman" w:hAnsi="Times New Roman"/>
          <w:b/>
          <w:color w:val="000000"/>
        </w:rPr>
        <w:t>II.6 Modo de Disputa da Licitação</w:t>
      </w:r>
      <w:bookmarkStart w:id="1" w:name="_GoBack"/>
      <w:bookmarkEnd w:id="1"/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26. O modo de disputa para essa licitação será o </w:t>
      </w:r>
      <w:r>
        <w:rPr>
          <w:rFonts w:cs="Times New Roman" w:ascii="Times New Roman" w:hAnsi="Times New Roman"/>
          <w:b/>
        </w:rPr>
        <w:t>aberto e fechado</w:t>
      </w:r>
      <w:r>
        <w:rPr>
          <w:rFonts w:cs="Times New Roman" w:ascii="Times New Roman" w:hAnsi="Times New Roman"/>
        </w:rPr>
        <w:t>, tendo em vista a vantajosidade em termos de ganho de tempo na operacionalização do pregão, além de que o objeto a ser contratado é bastante amplo no mercado</w:t>
      </w:r>
      <w:r>
        <w:rPr>
          <w:rFonts w:cs="Times New Roman" w:ascii="Times New Roman" w:hAnsi="Times New Roman"/>
          <w:color w:val="0000FF"/>
        </w:rPr>
        <w:t>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II.7 Natureza da ação que suporta a despesa decorrente da futura contratação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 w:val="false"/>
          <w:bCs w:val="false"/>
          <w:color w:val="000000"/>
          <w:sz w:val="22"/>
        </w:rPr>
        <w:t>27. No presente caso, trata-se de licitação destinada ao</w:t>
      </w:r>
      <w:r>
        <w:rPr>
          <w:rFonts w:ascii="TimesNewRomanPSMT" w:hAnsi="TimesNewRomanPSMT"/>
          <w:b w:val="false"/>
          <w:bCs w:val="false"/>
          <w:color w:val="000000"/>
          <w:sz w:val="22"/>
          <w:u w:val="single"/>
        </w:rPr>
        <w:t xml:space="preserve"> registro de preços pela Administração</w:t>
      </w:r>
      <w:r>
        <w:rPr>
          <w:rFonts w:ascii="TimesNewRomanPSMT" w:hAnsi="TimesNewRomanPSMT"/>
          <w:b w:val="false"/>
          <w:bCs w:val="false"/>
          <w:color w:val="000000"/>
          <w:sz w:val="22"/>
        </w:rPr>
        <w:t>, incidindo, pois, além da parte final do art. 8o, inciso IV, do Decreto no 10.024, de 2019, as previsões da Orientação Normativa AGU no 20, de 1/04/2009, (“Na licitação para registro de preços, a indicação da dotação orçamentária é exigível apenas antes da assinatura do contrato”), bem assim do art. 7o, §2o, do Decreto no 7.892, de 2013 ("Na licitação para registro de preços não é necessário indicar a dotação orçamentária, que somente será exigida para a formalização do contrato ou outro instrumento hábil.").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 w:val="false"/>
          <w:bCs w:val="false"/>
          <w:color w:val="000000"/>
          <w:sz w:val="22"/>
        </w:rPr>
        <w:t>28. Contudo, recomenda-se, pois, que a Administração informe nos autos a natureza da ação que suporta a despesa decorrente da futura contratação, adotando, a depender do caso, as providências previstas no art. 16, incisos I e II, da Lei de Responsabilidade Fiscal, com as premissas da estimativa de impacto orçamentário-financeiro e a metodologia de cálculos utilizados (art. 16, §2º, da Lei Complementar n.º 101/2000).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 w:val="false"/>
          <w:bCs w:val="false"/>
          <w:color w:val="000000"/>
          <w:sz w:val="22"/>
        </w:rPr>
        <w:t>29. Necessário destacar, outrossim, que o atendimento ao art. 16, incisos I e II, da Lei Complementar no 101, de 4 de maio de 2000, somente será necessário se as despesas que amparam a ação orçamentária em apreço não forem qualificáveis como atividades, mas, sim, como projetos, isto é, se não constituírem despesas rotineiras, como estabelece a Orientação Normativa AGU no 52/2014 ("As despesas ordinárias e rotineiras da administração, já previstas no orçamento e destinadas à manutenção das ações governamentais preexistentes, dispensam as exigências previstas nos incisos I e II do art. 16 da Lei Complementar no 101, de 2000").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 w:val="false"/>
          <w:bCs w:val="false"/>
          <w:color w:val="C9211E"/>
          <w:sz w:val="22"/>
        </w:rPr>
        <w:t>30. Dessa forma, no caso da contratação/aquisição em análise, percebe-se que o objeto é destinado a atender uma situação rotineira da administração, ou seja, uma despesa ordinária que visa a manutenção de uma ação governamental já registrada em orçamento. Essa(as) intitulada(s):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/>
          <w:bCs/>
          <w:color w:val="C9211E"/>
          <w:sz w:val="22"/>
        </w:rPr>
        <w:t>Ação Governamental:</w:t>
      </w:r>
      <w:r>
        <w:rPr>
          <w:rFonts w:ascii="TimesNewRomanPSMT" w:hAnsi="TimesNewRomanPSMT"/>
          <w:b w:val="false"/>
          <w:bCs w:val="false"/>
          <w:color w:val="C9211E"/>
          <w:sz w:val="22"/>
        </w:rPr>
        <w:t xml:space="preserve"> 20RL - Funcionamento das Instituições da Rede Federal de Educação Profissional, Científica e Tecnológica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/>
          <w:bCs/>
          <w:color w:val="C9211E"/>
          <w:sz w:val="22"/>
        </w:rPr>
        <w:t xml:space="preserve">Tipo: </w:t>
      </w:r>
      <w:r>
        <w:rPr>
          <w:rFonts w:ascii="TimesNewRomanPSMT" w:hAnsi="TimesNewRomanPSMT"/>
          <w:b w:val="false"/>
          <w:bCs w:val="false"/>
          <w:color w:val="C9211E"/>
          <w:sz w:val="22"/>
        </w:rPr>
        <w:t>Atividade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FF"/>
        </w:rPr>
      </w:pPr>
      <w:r>
        <w:rPr>
          <w:rFonts w:ascii="TimesNewRomanPSMT" w:hAnsi="TimesNewRomanPSMT"/>
          <w:b w:val="false"/>
          <w:bCs w:val="false"/>
          <w:color w:val="0000FF"/>
          <w:sz w:val="22"/>
        </w:rPr>
        <w:t>e/ou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/>
          <w:bCs/>
          <w:color w:val="C9211E"/>
          <w:sz w:val="22"/>
        </w:rPr>
        <w:t xml:space="preserve">Ação Governamental: </w:t>
      </w:r>
      <w:r>
        <w:rPr>
          <w:rFonts w:ascii="TimesNewRomanPSMT" w:hAnsi="TimesNewRomanPSMT"/>
          <w:b w:val="false"/>
          <w:bCs w:val="false"/>
          <w:color w:val="C9211E"/>
          <w:sz w:val="22"/>
        </w:rPr>
        <w:t>2994 - Assistência aos Estudantes das Instituições Federais de Educação Profissional e Tecnológica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/>
          <w:bCs/>
          <w:color w:val="C9211E"/>
          <w:sz w:val="22"/>
        </w:rPr>
        <w:t xml:space="preserve">Tipo: </w:t>
      </w:r>
      <w:r>
        <w:rPr>
          <w:rFonts w:ascii="TimesNewRomanPSMT" w:hAnsi="TimesNewRomanPSMT"/>
          <w:b w:val="false"/>
          <w:bCs w:val="false"/>
          <w:color w:val="C9211E"/>
          <w:sz w:val="22"/>
        </w:rPr>
        <w:t>Atividade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FF"/>
        </w:rPr>
      </w:pPr>
      <w:r>
        <w:rPr>
          <w:rFonts w:ascii="TimesNewRomanPSMT" w:hAnsi="TimesNewRomanPSMT"/>
          <w:b w:val="false"/>
          <w:bCs w:val="false"/>
          <w:color w:val="0000FF"/>
          <w:sz w:val="22"/>
        </w:rPr>
        <w:t>e/ou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/>
          <w:bCs/>
          <w:color w:val="C9211E"/>
          <w:sz w:val="22"/>
        </w:rPr>
        <w:t xml:space="preserve">Ação Governamental: </w:t>
      </w:r>
      <w:r>
        <w:rPr>
          <w:rFonts w:ascii="TimesNewRomanPSMT" w:hAnsi="TimesNewRomanPSMT"/>
          <w:b w:val="false"/>
          <w:bCs w:val="false"/>
          <w:color w:val="C9211E"/>
          <w:sz w:val="22"/>
        </w:rPr>
        <w:t>20RG - Reestruturação e Modernização das Instituições da Rede Federal de Educação Profissional, Científica e Tecnológica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left="1757" w:right="0" w:hanging="0"/>
        <w:jc w:val="both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/>
          <w:bCs/>
          <w:color w:val="C9211E"/>
          <w:sz w:val="22"/>
        </w:rPr>
        <w:t xml:space="preserve">Tipo: </w:t>
      </w:r>
      <w:r>
        <w:rPr>
          <w:rFonts w:ascii="TimesNewRomanPSMT" w:hAnsi="TimesNewRomanPSMT"/>
          <w:b w:val="false"/>
          <w:bCs w:val="false"/>
          <w:color w:val="C9211E"/>
          <w:sz w:val="22"/>
        </w:rPr>
        <w:t>Atividade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right="0" w:hanging="0"/>
        <w:jc w:val="both"/>
        <w:rPr>
          <w:b w:val="false"/>
          <w:b w:val="false"/>
          <w:bCs w:val="false"/>
          <w:color w:val="000000"/>
          <w:highlight w:val="yellow"/>
        </w:rPr>
      </w:pPr>
      <w:r>
        <w:rPr>
          <w:rFonts w:ascii="TimesNewRomanPSMT" w:hAnsi="TimesNewRomanPSMT"/>
          <w:b w:val="false"/>
          <w:bCs w:val="false"/>
          <w:color w:val="C9211E"/>
          <w:sz w:val="22"/>
          <w:highlight w:val="yellow"/>
        </w:rPr>
        <w:t xml:space="preserve">OBS.1: Caso a contratação </w:t>
      </w:r>
      <w:r>
        <w:rPr>
          <w:rFonts w:ascii="TimesNewRomanPSMT" w:hAnsi="TimesNewRomanPSMT"/>
          <w:b w:val="false"/>
          <w:bCs w:val="false"/>
          <w:color w:val="C9211E"/>
          <w:sz w:val="22"/>
          <w:highlight w:val="yellow"/>
          <w:u w:val="single"/>
        </w:rPr>
        <w:t>não</w:t>
      </w:r>
      <w:r>
        <w:rPr>
          <w:rFonts w:ascii="TimesNewRomanPSMT" w:hAnsi="TimesNewRomanPSMT"/>
          <w:b w:val="false"/>
          <w:bCs w:val="false"/>
          <w:color w:val="C9211E"/>
          <w:sz w:val="22"/>
          <w:highlight w:val="yellow"/>
        </w:rPr>
        <w:t xml:space="preserve"> seja via registro de preços, faz-se necessário realizar melhor análise visto que é necessário indicar a disponibilidade orçamentária. </w:t>
      </w:r>
      <w:r>
        <w:rPr>
          <w:rFonts w:ascii="TimesNewRomanPSMT" w:hAnsi="TimesNewRomanPSMT"/>
          <w:b/>
          <w:bCs/>
          <w:i/>
          <w:iCs/>
          <w:color w:val="0000FF"/>
          <w:sz w:val="22"/>
          <w:highlight w:val="yellow"/>
        </w:rPr>
        <w:t>(Excluir observação após leitura)</w:t>
      </w:r>
    </w:p>
    <w:p>
      <w:pPr>
        <w:pStyle w:val="LOnormal"/>
        <w:widowControl w:val="false"/>
        <w:tabs>
          <w:tab w:val="clear" w:pos="720"/>
          <w:tab w:val="left" w:pos="1418" w:leader="none"/>
        </w:tabs>
        <w:suppressAutoHyphens w:val="true"/>
        <w:bidi w:val="0"/>
        <w:spacing w:lineRule="auto" w:line="276" w:before="120" w:after="120"/>
        <w:ind w:right="0" w:hanging="0"/>
        <w:jc w:val="both"/>
        <w:rPr>
          <w:rFonts w:ascii="Times New Roman" w:hAnsi="Times New Roman" w:eastAsia="Calibri" w:cs="Times New Roman"/>
          <w:b/>
          <w:b/>
          <w:color w:val="C9211E"/>
          <w:kern w:val="0"/>
          <w:sz w:val="24"/>
          <w:szCs w:val="24"/>
          <w:lang w:val="pt-BR" w:eastAsia="zh-CN" w:bidi="hi-IN"/>
        </w:rPr>
      </w:pPr>
      <w:r>
        <w:rPr>
          <w:rFonts w:eastAsia="Calibri" w:cs="Times New Roman" w:ascii="TimesNewRomanPSMT" w:hAnsi="TimesNewRomanPSMT"/>
          <w:b w:val="false"/>
          <w:bCs w:val="false"/>
          <w:color w:val="C9211E"/>
          <w:kern w:val="0"/>
          <w:sz w:val="22"/>
          <w:szCs w:val="24"/>
          <w:highlight w:val="yellow"/>
          <w:lang w:val="pt-BR" w:eastAsia="zh-CN" w:bidi="hi-IN"/>
        </w:rPr>
        <w:t xml:space="preserve">OBS.2: Caso a ação seja diferente das elencadas no Item 30 é necessário analisar a natureza da ação no SIOP. </w:t>
      </w:r>
      <w:r>
        <w:rPr>
          <w:rFonts w:eastAsia="Calibri" w:cs="Times New Roman" w:ascii="TimesNewRomanPSMT" w:hAnsi="TimesNewRomanPSMT"/>
          <w:b/>
          <w:bCs/>
          <w:i/>
          <w:iCs/>
          <w:color w:val="C9211E"/>
          <w:kern w:val="0"/>
          <w:sz w:val="22"/>
          <w:szCs w:val="24"/>
          <w:highlight w:val="yellow"/>
          <w:lang w:val="pt-BR" w:eastAsia="zh-CN" w:bidi="hi-IN"/>
        </w:rPr>
        <w:t xml:space="preserve"> </w:t>
      </w:r>
      <w:r>
        <w:rPr>
          <w:rFonts w:eastAsia="Calibri" w:cs="Times New Roman" w:ascii="TimesNewRomanPSMT" w:hAnsi="TimesNewRomanPSMT"/>
          <w:b/>
          <w:bCs/>
          <w:i/>
          <w:iCs/>
          <w:color w:val="0000FF"/>
          <w:kern w:val="0"/>
          <w:sz w:val="22"/>
          <w:szCs w:val="24"/>
          <w:highlight w:val="yellow"/>
          <w:lang w:val="pt-BR" w:eastAsia="zh-CN" w:bidi="hi-IN"/>
        </w:rPr>
        <w:t>(Excluir observação após leitura)</w:t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4" w:after="114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III - CONCLUSÃO</w:t>
            </w:r>
          </w:p>
        </w:tc>
      </w:tr>
    </w:tbl>
    <w:p>
      <w:pPr>
        <w:pStyle w:val="LO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31. Ante o exposto, a proposição de </w:t>
      </w:r>
      <w:r>
        <w:rPr>
          <w:rFonts w:eastAsia="Arial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highlight w:val="white"/>
          <w:lang w:val="pt-BR" w:eastAsia="zh-CN" w:bidi="ar-SA"/>
        </w:rPr>
        <w:t xml:space="preserve">Aquisição de Equipamentos Energéticos Tipo: </w:t>
      </w:r>
      <w:r>
        <w:rPr>
          <w:rFonts w:eastAsia="Arial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pt-BR" w:eastAsia="zh-CN" w:bidi="ar-SA"/>
        </w:rPr>
        <w:t>Estabilizadores/Nobreaks</w:t>
      </w:r>
      <w:r>
        <w:rPr>
          <w:rFonts w:eastAsia="Arial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highlight w:val="white"/>
          <w:lang w:val="pt-BR" w:eastAsia="zh-CN" w:bidi="ar-SA"/>
        </w:rPr>
        <w:t xml:space="preserve"> </w:t>
      </w:r>
      <w:r>
        <w:rPr>
          <w:rFonts w:eastAsia="Arial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pt-BR" w:eastAsia="zh-CN" w:bidi="ar-SA"/>
        </w:rPr>
        <w:t xml:space="preserve">para </w:t>
      </w:r>
      <w:r>
        <w:rPr>
          <w:rFonts w:eastAsia="Arial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pt-BR" w:eastAsia="zh-CN" w:bidi="ar-SA"/>
        </w:rPr>
        <w:t>atender as necessidades dos campi do Instituto Federal de Educação, Ciência e Tecnologia do Sertão Pernambucano/IFSertãoPE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é viável</w:t>
      </w:r>
      <w:r>
        <w:rPr>
          <w:rFonts w:cs="Times New Roman" w:ascii="Times New Roman" w:hAnsi="Times New Roman"/>
          <w:color w:val="000000"/>
        </w:rPr>
        <w:t>, uma vez que foram observados todos os pontos dispostos no presente relatório.</w:t>
      </w:r>
    </w:p>
    <w:p>
      <w:pPr>
        <w:pStyle w:val="LOnormal"/>
        <w:spacing w:before="228" w:after="228"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Petrolina - PE, _______ de  agosto de 2022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LOnormal"/>
        <w:widowControl/>
        <w:spacing w:before="57" w:after="57"/>
        <w:jc w:val="center"/>
        <w:rPr/>
      </w:pPr>
      <w:r>
        <w:rPr>
          <w:b/>
        </w:rPr>
        <w:t>Pró-Reitor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de Orçamento e Administração-PROAD</w:t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IF Sertão PE/Reitoria</w:t>
      </w:r>
    </w:p>
    <w:p>
      <w:pPr>
        <w:pStyle w:val="LOnormal"/>
        <w:widowControl/>
        <w:tabs>
          <w:tab w:val="clear" w:pos="720"/>
          <w:tab w:val="left" w:pos="0" w:leader="none"/>
        </w:tabs>
        <w:spacing w:lineRule="auto" w:line="276" w:before="200" w:after="0"/>
        <w:ind w:left="144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27" w:right="1134" w:gutter="0" w:header="708" w:top="1134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LO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right="49" w:hanging="0"/>
      <w:jc w:val="center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REITORIA/PROAD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DIRETORIA DE LICITAÇÕES- DLIC</w:t>
    </w:r>
  </w:p>
  <w:p>
    <w:pPr>
      <w:pStyle w:val="LO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FF3333"/>
        <w:sz w:val="14"/>
        <w:szCs w:val="14"/>
      </w:rPr>
    </w:pPr>
    <w:r>
      <w:rPr>
        <w:rFonts w:eastAsia="Times New Roman" w:cs="Times New Roman" w:ascii="Times New Roman" w:hAnsi="Times New Roman"/>
        <w:b/>
        <w:color w:val="FF3333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Default" w:customStyle="1">
    <w:name w:val="Default"/>
    <w:qFormat/>
    <w:rsid w:val="001805c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compras/pt-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LibreOffice/7.2.5.2$Windows_X86_64 LibreOffice_project/499f9727c189e6ef3471021d6132d4c694f357e5</Application>
  <AppVersion>15.0000</AppVersion>
  <Pages>2</Pages>
  <Words>2298</Words>
  <Characters>12961</Characters>
  <CharactersWithSpaces>15212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2021-06-16T17:52:00Z</dcterms:created>
  <dc:creator>USUARIO</dc:creator>
  <dc:description/>
  <dc:language>pt-BR</dc:language>
  <cp:lastModifiedBy/>
  <dcterms:modified xsi:type="dcterms:W3CDTF">2022-08-09T14:05:35Z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