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120"/>
        <w:ind w:right="-15" w:hanging="0"/>
        <w:jc w:val="center"/>
        <w:rPr>
          <w:rFonts w:cs="Arial"/>
          <w:b/>
          <w:b/>
          <w:bCs/>
          <w:color w:val="000000"/>
          <w:szCs w:val="20"/>
        </w:rPr>
      </w:pPr>
      <w:r>
        <w:rPr>
          <w:rFonts w:cs="Arial"/>
          <w:b/>
          <w:bCs/>
          <w:color w:val="000000"/>
          <w:szCs w:val="20"/>
        </w:rPr>
      </w:r>
    </w:p>
    <w:p>
      <w:pPr>
        <w:pStyle w:val="Normal"/>
        <w:spacing w:lineRule="auto" w:line="276" w:before="0" w:after="120"/>
        <w:ind w:right="-15" w:hanging="0"/>
        <w:jc w:val="center"/>
        <w:rPr>
          <w:rFonts w:cs="Arial"/>
          <w:b/>
          <w:b/>
          <w:bCs/>
          <w:color w:val="000000"/>
          <w:szCs w:val="20"/>
        </w:rPr>
      </w:pPr>
      <w:r>
        <w:rPr>
          <w:rFonts w:cs="Arial"/>
          <w:b/>
          <w:bCs/>
          <w:color w:val="000000"/>
          <w:szCs w:val="20"/>
        </w:rPr>
        <w:t xml:space="preserve"> </w:t>
      </w:r>
      <w:r>
        <w:rPr>
          <w:rFonts w:cs="Arial"/>
          <w:b/>
          <w:bCs/>
          <w:color w:val="000000"/>
          <w:szCs w:val="20"/>
        </w:rPr>
        <w:t>TERMO DE REFERÊNCIA</w:t>
      </w:r>
    </w:p>
    <w:p>
      <w:pPr>
        <w:pStyle w:val="Normal"/>
        <w:spacing w:lineRule="auto" w:line="276" w:before="0" w:after="120"/>
        <w:ind w:right="-15" w:hanging="0"/>
        <w:rPr>
          <w:rFonts w:cs="Arial"/>
          <w:bCs/>
          <w:iCs/>
          <w:szCs w:val="20"/>
          <w:lang w:val="x-none"/>
        </w:rPr>
      </w:pPr>
      <w:r>
        <w:rPr>
          <w:rFonts w:cs="Arial"/>
          <w:bCs/>
          <w:iCs/>
          <w:szCs w:val="20"/>
          <w:lang w:val="x-none"/>
        </w:rPr>
      </w:r>
    </w:p>
    <w:p>
      <w:pPr>
        <w:pStyle w:val="Normal"/>
        <w:widowControl/>
        <w:suppressAutoHyphens w:val="true"/>
        <w:bidi w:val="0"/>
        <w:spacing w:lineRule="auto" w:line="276" w:before="0" w:after="0"/>
        <w:ind w:left="0" w:right="-170" w:hanging="0"/>
        <w:jc w:val="center"/>
        <w:rPr>
          <w:rFonts w:cs="Arial"/>
          <w:bCs/>
          <w:i/>
          <w:i/>
          <w:color w:val="FF0000"/>
          <w:szCs w:val="20"/>
        </w:rPr>
      </w:pPr>
      <w:r>
        <w:rPr>
          <w:rFonts w:eastAsia="Times New Roman" w:cs="Arial"/>
          <w:b/>
          <w:bCs/>
          <w:i/>
          <w:color w:val="000000"/>
          <w:kern w:val="0"/>
          <w:sz w:val="20"/>
          <w:szCs w:val="20"/>
          <w:lang w:val="pt-BR" w:eastAsia="pt-BR" w:bidi="ar-SA"/>
        </w:rPr>
        <w:t>INSTITUTO FEDERAL DE EDUCAÇÃO, CIÊNCIA E TECNOLOGIA DO SERTÃO PERNAMBUCANO</w:t>
      </w:r>
    </w:p>
    <w:p>
      <w:pPr>
        <w:pStyle w:val="Normal"/>
        <w:jc w:val="center"/>
        <w:rPr>
          <w:rFonts w:ascii="Arial" w:hAnsi="Arial" w:eastAsia="Times New Roman" w:cs="Arial"/>
          <w:b/>
          <w:b/>
          <w:bCs/>
          <w:color w:val="000000"/>
          <w:kern w:val="0"/>
          <w:sz w:val="20"/>
          <w:szCs w:val="20"/>
          <w:lang w:val="pt-BR" w:eastAsia="pt-BR" w:bidi="ar-SA"/>
        </w:rPr>
      </w:pPr>
      <w:r>
        <w:rPr>
          <w:rFonts w:eastAsia="Times New Roman" w:cs="Arial"/>
          <w:b/>
          <w:bCs/>
          <w:color w:val="000000"/>
          <w:kern w:val="0"/>
          <w:sz w:val="20"/>
          <w:szCs w:val="20"/>
          <w:lang w:val="pt-BR" w:eastAsia="pt-BR" w:bidi="ar-SA"/>
        </w:rPr>
        <w:t>INEXIGIBILIDADE DE LICITAÇÃO N ______/2023</w:t>
      </w:r>
    </w:p>
    <w:p>
      <w:pPr>
        <w:pStyle w:val="Normal"/>
        <w:jc w:val="center"/>
        <w:rPr/>
      </w:pPr>
      <w:r>
        <w:rPr>
          <w:rFonts w:eastAsia="Times New Roman" w:cs="Arial"/>
          <w:b/>
          <w:bCs/>
          <w:color w:val="000000"/>
          <w:kern w:val="0"/>
          <w:sz w:val="20"/>
          <w:szCs w:val="20"/>
          <w:lang w:val="pt-BR" w:eastAsia="pt-BR" w:bidi="ar-SA"/>
        </w:rPr>
        <w:t xml:space="preserve">(Processo Administrativo n.° </w:t>
      </w:r>
      <w:r>
        <w:rPr>
          <w:rFonts w:ascii="TimesNewRoman" w:hAnsi="TimesNewRoman"/>
          <w:sz w:val="22"/>
        </w:rPr>
        <w:t>23302.000234/2021-91</w:t>
      </w:r>
      <w:r>
        <w:rPr>
          <w:rFonts w:eastAsia="Times New Roman" w:cs="Arial"/>
          <w:b/>
          <w:bCs/>
          <w:color w:val="000000"/>
          <w:kern w:val="0"/>
          <w:sz w:val="20"/>
          <w:szCs w:val="20"/>
          <w:lang w:val="pt-BR" w:eastAsia="pt-BR" w:bidi="ar-SA"/>
        </w:rPr>
        <w:t>)</w:t>
      </w:r>
    </w:p>
    <w:p>
      <w:pPr>
        <w:pStyle w:val="Nivel1"/>
        <w:numPr>
          <w:ilvl w:val="0"/>
          <w:numId w:val="4"/>
        </w:numPr>
        <w:rPr>
          <w:sz w:val="22"/>
          <w:szCs w:val="22"/>
        </w:rPr>
      </w:pPr>
      <w:r>
        <w:rPr>
          <w:rFonts w:cs="Arial"/>
          <w:sz w:val="22"/>
          <w:szCs w:val="22"/>
        </w:rPr>
        <w:t>DO OBJETO</w:t>
      </w:r>
    </w:p>
    <w:p>
      <w:pPr>
        <w:pStyle w:val="Normal"/>
        <w:numPr>
          <w:ilvl w:val="1"/>
          <w:numId w:val="167"/>
        </w:numPr>
        <w:spacing w:lineRule="auto" w:line="276" w:before="120" w:after="120"/>
        <w:ind w:left="425" w:hanging="0"/>
        <w:jc w:val="both"/>
        <w:rPr>
          <w:sz w:val="22"/>
          <w:szCs w:val="22"/>
        </w:rPr>
      </w:pPr>
      <w:r>
        <w:rPr>
          <w:rFonts w:cs="Arial"/>
          <w:sz w:val="22"/>
          <w:szCs w:val="22"/>
        </w:rPr>
        <w:t>Contratação de empresa terceirizada para prestação de serviços postais e de logística integrada para atender demanda do IF Sertão-PE, conforme condições, quantidades e exigências estabelecidas neste instrumento e seus anexos:</w:t>
      </w:r>
    </w:p>
    <w:tbl>
      <w:tblPr>
        <w:tblW w:w="10076" w:type="dxa"/>
        <w:jc w:val="left"/>
        <w:tblInd w:w="-228" w:type="dxa"/>
        <w:tblLayout w:type="fixed"/>
        <w:tblCellMar>
          <w:top w:w="0" w:type="dxa"/>
          <w:left w:w="108" w:type="dxa"/>
          <w:bottom w:w="0" w:type="dxa"/>
          <w:right w:w="108" w:type="dxa"/>
        </w:tblCellMar>
        <w:tblLook w:firstRow="1" w:noVBand="1" w:lastRow="0" w:firstColumn="1" w:lastColumn="0" w:noHBand="0" w:val="04a0"/>
      </w:tblPr>
      <w:tblGrid>
        <w:gridCol w:w="1550"/>
        <w:gridCol w:w="715"/>
        <w:gridCol w:w="2984"/>
        <w:gridCol w:w="1132"/>
        <w:gridCol w:w="1133"/>
        <w:gridCol w:w="1305"/>
        <w:gridCol w:w="1256"/>
      </w:tblGrid>
      <w:tr>
        <w:trPr/>
        <w:tc>
          <w:tcPr>
            <w:tcW w:w="1550" w:type="dxa"/>
            <w:tcBorders>
              <w:top w:val="single" w:sz="4" w:space="0" w:color="000000"/>
              <w:left w:val="single" w:sz="4" w:space="0" w:color="000000"/>
              <w:bottom w:val="single" w:sz="4" w:space="0" w:color="000000"/>
            </w:tcBorders>
            <w:shd w:fill="3FAF46" w:val="clear"/>
          </w:tcPr>
          <w:p>
            <w:pPr>
              <w:pStyle w:val="Normal"/>
              <w:widowControl w:val="false"/>
              <w:suppressAutoHyphens w:val="true"/>
              <w:jc w:val="center"/>
              <w:rPr>
                <w:rFonts w:ascii="Arial" w:hAnsi="Arial" w:cs="Arial"/>
                <w:b/>
                <w:b/>
                <w:bCs/>
                <w:color w:val="000000"/>
                <w:sz w:val="20"/>
                <w:szCs w:val="20"/>
              </w:rPr>
            </w:pPr>
            <w:r>
              <w:rPr>
                <w:rFonts w:cs="Arial"/>
                <w:b/>
                <w:bCs/>
                <w:color w:val="000000"/>
                <w:sz w:val="20"/>
                <w:szCs w:val="20"/>
              </w:rPr>
            </w:r>
          </w:p>
          <w:p>
            <w:pPr>
              <w:pStyle w:val="Normal"/>
              <w:widowControl w:val="false"/>
              <w:suppressAutoHyphens w:val="true"/>
              <w:bidi w:val="0"/>
              <w:spacing w:before="0" w:after="0"/>
              <w:ind w:left="-113" w:right="0" w:hanging="0"/>
              <w:jc w:val="center"/>
              <w:rPr>
                <w:rFonts w:ascii="Arial" w:hAnsi="Arial" w:cs="Arial"/>
                <w:b/>
                <w:b/>
                <w:bCs/>
                <w:color w:val="000000"/>
                <w:sz w:val="20"/>
                <w:szCs w:val="20"/>
              </w:rPr>
            </w:pPr>
            <w:r>
              <w:rPr>
                <w:rFonts w:cs="Arial"/>
                <w:b/>
                <w:bCs/>
                <w:color w:val="000000"/>
                <w:sz w:val="20"/>
                <w:szCs w:val="20"/>
              </w:rPr>
              <w:t>Descrição/ geral e quantidade</w:t>
            </w:r>
          </w:p>
        </w:tc>
        <w:tc>
          <w:tcPr>
            <w:tcW w:w="715" w:type="dxa"/>
            <w:tcBorders>
              <w:top w:val="single" w:sz="4" w:space="0" w:color="000000"/>
              <w:left w:val="single" w:sz="4" w:space="0" w:color="000000"/>
              <w:bottom w:val="single" w:sz="4" w:space="0" w:color="000000"/>
              <w:right w:val="single" w:sz="4" w:space="0" w:color="000000"/>
            </w:tcBorders>
            <w:shd w:fill="3FAF46" w:val="clear"/>
          </w:tcPr>
          <w:p>
            <w:pPr>
              <w:pStyle w:val="Normal"/>
              <w:widowControl w:val="false"/>
              <w:suppressAutoHyphens w:val="true"/>
              <w:jc w:val="center"/>
              <w:rPr>
                <w:rFonts w:ascii="Arial" w:hAnsi="Arial" w:cs="Arial"/>
                <w:b/>
                <w:b/>
                <w:bCs/>
                <w:color w:val="000000"/>
                <w:sz w:val="20"/>
                <w:szCs w:val="20"/>
              </w:rPr>
            </w:pPr>
            <w:r>
              <w:rPr>
                <w:rFonts w:cs="Arial"/>
                <w:b/>
                <w:bCs/>
                <w:color w:val="000000"/>
                <w:sz w:val="20"/>
                <w:szCs w:val="20"/>
              </w:rPr>
              <w:t>Sub item</w:t>
            </w:r>
          </w:p>
        </w:tc>
        <w:tc>
          <w:tcPr>
            <w:tcW w:w="2984" w:type="dxa"/>
            <w:tcBorders>
              <w:top w:val="single" w:sz="4" w:space="0" w:color="000000"/>
              <w:left w:val="single" w:sz="4" w:space="0" w:color="000000"/>
              <w:bottom w:val="single" w:sz="4" w:space="0" w:color="000000"/>
              <w:right w:val="single" w:sz="4" w:space="0" w:color="000000"/>
            </w:tcBorders>
            <w:shd w:fill="3FAF46" w:val="clear"/>
          </w:tcPr>
          <w:p>
            <w:pPr>
              <w:pStyle w:val="Normal"/>
              <w:widowControl w:val="false"/>
              <w:jc w:val="center"/>
              <w:rPr>
                <w:rFonts w:ascii="Arial" w:hAnsi="Arial" w:cs="Arial"/>
                <w:b/>
                <w:b/>
                <w:bCs/>
                <w:color w:val="000000"/>
                <w:sz w:val="20"/>
                <w:szCs w:val="20"/>
              </w:rPr>
            </w:pPr>
            <w:r>
              <w:rPr>
                <w:rFonts w:cs="Arial"/>
                <w:b/>
                <w:bCs/>
                <w:color w:val="000000"/>
                <w:sz w:val="20"/>
                <w:szCs w:val="20"/>
              </w:rPr>
              <w:t>Descrição/</w:t>
            </w:r>
          </w:p>
          <w:p>
            <w:pPr>
              <w:pStyle w:val="Normal"/>
              <w:widowControl w:val="false"/>
              <w:suppressAutoHyphens w:val="true"/>
              <w:jc w:val="center"/>
              <w:rPr>
                <w:rFonts w:ascii="Arial" w:hAnsi="Arial" w:cs="Arial"/>
                <w:b/>
                <w:b/>
                <w:bCs/>
                <w:color w:val="000000"/>
                <w:sz w:val="20"/>
                <w:szCs w:val="20"/>
              </w:rPr>
            </w:pPr>
            <w:r>
              <w:rPr>
                <w:rFonts w:cs="Arial"/>
                <w:b/>
                <w:bCs/>
                <w:color w:val="000000"/>
                <w:sz w:val="20"/>
                <w:szCs w:val="20"/>
              </w:rPr>
              <w:t>Especificação</w:t>
            </w:r>
          </w:p>
        </w:tc>
        <w:tc>
          <w:tcPr>
            <w:tcW w:w="1132" w:type="dxa"/>
            <w:tcBorders>
              <w:top w:val="single" w:sz="4" w:space="0" w:color="000000"/>
              <w:left w:val="single" w:sz="4" w:space="0" w:color="000000"/>
              <w:bottom w:val="single" w:sz="4" w:space="0" w:color="000000"/>
              <w:right w:val="single" w:sz="4" w:space="0" w:color="000000"/>
            </w:tcBorders>
            <w:shd w:fill="3FAF46" w:val="clear"/>
          </w:tcPr>
          <w:p>
            <w:pPr>
              <w:pStyle w:val="Normal"/>
              <w:widowControl w:val="false"/>
              <w:suppressAutoHyphens w:val="true"/>
              <w:jc w:val="center"/>
              <w:rPr>
                <w:rFonts w:ascii="Arial" w:hAnsi="Arial" w:cs="Arial"/>
                <w:b/>
                <w:b/>
                <w:bCs/>
                <w:color w:val="000000"/>
                <w:sz w:val="20"/>
                <w:szCs w:val="20"/>
              </w:rPr>
            </w:pPr>
            <w:r>
              <w:rPr>
                <w:rFonts w:cs="Arial"/>
                <w:b/>
                <w:bCs/>
                <w:color w:val="000000"/>
                <w:sz w:val="20"/>
                <w:szCs w:val="20"/>
              </w:rPr>
              <w:t>Unidade de Medida</w:t>
            </w:r>
          </w:p>
        </w:tc>
        <w:tc>
          <w:tcPr>
            <w:tcW w:w="1133" w:type="dxa"/>
            <w:tcBorders>
              <w:top w:val="single" w:sz="4" w:space="0" w:color="000000"/>
              <w:left w:val="single" w:sz="4" w:space="0" w:color="000000"/>
              <w:bottom w:val="single" w:sz="4" w:space="0" w:color="000000"/>
              <w:right w:val="single" w:sz="4" w:space="0" w:color="000000"/>
            </w:tcBorders>
            <w:shd w:fill="3FAF46" w:val="clear"/>
          </w:tcPr>
          <w:p>
            <w:pPr>
              <w:pStyle w:val="Normal"/>
              <w:widowControl w:val="false"/>
              <w:suppressAutoHyphens w:val="true"/>
              <w:bidi w:val="0"/>
              <w:spacing w:before="0" w:after="0"/>
              <w:ind w:left="-113" w:right="-113" w:hanging="0"/>
              <w:jc w:val="center"/>
              <w:rPr>
                <w:rFonts w:ascii="Arial" w:hAnsi="Arial" w:cs="Arial"/>
                <w:b/>
                <w:b/>
                <w:bCs/>
                <w:color w:val="000000"/>
                <w:sz w:val="20"/>
                <w:szCs w:val="20"/>
              </w:rPr>
            </w:pPr>
            <w:r>
              <w:rPr>
                <w:rFonts w:cs="Arial"/>
                <w:b/>
                <w:bCs/>
                <w:color w:val="000000"/>
                <w:sz w:val="20"/>
                <w:szCs w:val="20"/>
              </w:rPr>
              <w:t>Quantidade para 12 meses</w:t>
            </w:r>
          </w:p>
        </w:tc>
        <w:tc>
          <w:tcPr>
            <w:tcW w:w="1305" w:type="dxa"/>
            <w:tcBorders>
              <w:top w:val="single" w:sz="4" w:space="0" w:color="000000"/>
              <w:left w:val="single" w:sz="4" w:space="0" w:color="000000"/>
              <w:bottom w:val="single" w:sz="4" w:space="0" w:color="000000"/>
            </w:tcBorders>
            <w:shd w:fill="3FAF46" w:val="clear"/>
          </w:tcPr>
          <w:p>
            <w:pPr>
              <w:pStyle w:val="Normal"/>
              <w:widowControl w:val="false"/>
              <w:suppressAutoHyphens w:val="true"/>
              <w:bidi w:val="0"/>
              <w:spacing w:before="0" w:after="0"/>
              <w:ind w:left="-170" w:right="0" w:hanging="0"/>
              <w:jc w:val="center"/>
              <w:rPr>
                <w:rFonts w:ascii="Arial" w:hAnsi="Arial" w:cs="Arial"/>
                <w:b/>
                <w:b/>
                <w:bCs/>
                <w:color w:val="000000"/>
                <w:sz w:val="20"/>
                <w:szCs w:val="20"/>
              </w:rPr>
            </w:pPr>
            <w:r>
              <w:rPr>
                <w:rFonts w:cs="Arial"/>
                <w:b/>
                <w:bCs/>
                <w:color w:val="000000"/>
                <w:sz w:val="20"/>
                <w:szCs w:val="20"/>
              </w:rPr>
              <w:t>Valor Unitário Máximo Aceitável</w:t>
            </w:r>
          </w:p>
        </w:tc>
        <w:tc>
          <w:tcPr>
            <w:tcW w:w="1256" w:type="dxa"/>
            <w:tcBorders>
              <w:top w:val="single" w:sz="4" w:space="0" w:color="000000"/>
              <w:left w:val="single" w:sz="4" w:space="0" w:color="000000"/>
              <w:bottom w:val="single" w:sz="4" w:space="0" w:color="000000"/>
              <w:right w:val="single" w:sz="4" w:space="0" w:color="000000"/>
            </w:tcBorders>
            <w:shd w:fill="3FAF46" w:val="clear"/>
          </w:tcPr>
          <w:p>
            <w:pPr>
              <w:pStyle w:val="Normal"/>
              <w:widowControl w:val="false"/>
              <w:suppressAutoHyphens w:val="true"/>
              <w:bidi w:val="0"/>
              <w:spacing w:before="0" w:after="0"/>
              <w:ind w:left="-57" w:right="0" w:hanging="0"/>
              <w:jc w:val="center"/>
              <w:rPr>
                <w:rFonts w:ascii="Arial" w:hAnsi="Arial" w:cs="Arial"/>
                <w:b/>
                <w:b/>
                <w:bCs/>
                <w:color w:val="000000"/>
                <w:sz w:val="20"/>
                <w:szCs w:val="20"/>
              </w:rPr>
            </w:pPr>
            <w:r>
              <w:rPr>
                <w:rFonts w:cs="Arial"/>
                <w:b/>
                <w:bCs/>
                <w:color w:val="000000"/>
                <w:sz w:val="20"/>
                <w:szCs w:val="20"/>
              </w:rPr>
              <w:t>Valor Total Máximo Aceitável</w:t>
            </w:r>
          </w:p>
        </w:tc>
      </w:tr>
      <w:tr>
        <w:trPr/>
        <w:tc>
          <w:tcPr>
            <w:tcW w:w="1550" w:type="dxa"/>
            <w:vMerge w:val="restart"/>
            <w:tcBorders>
              <w:top w:val="single" w:sz="4" w:space="0" w:color="000000"/>
              <w:left w:val="single" w:sz="4" w:space="0" w:color="000000"/>
              <w:bottom w:val="single" w:sz="4" w:space="0" w:color="000000"/>
            </w:tcBorders>
            <w:shd w:fill="B3CAC7" w:val="clear"/>
          </w:tcPr>
          <w:p>
            <w:pPr>
              <w:pStyle w:val="Normal"/>
              <w:widowControl w:val="false"/>
              <w:suppressAutoHyphens w:val="true"/>
              <w:spacing w:lineRule="auto" w:line="276" w:before="0" w:after="120"/>
              <w:jc w:val="center"/>
              <w:rPr>
                <w:rFonts w:ascii="Arial" w:hAnsi="Arial" w:cs="Arial"/>
                <w:color w:val="000000"/>
                <w:sz w:val="20"/>
                <w:szCs w:val="20"/>
              </w:rPr>
            </w:pPr>
            <w:r>
              <w:rPr>
                <w:rFonts w:cs="Arial"/>
                <w:color w:val="000000"/>
                <w:sz w:val="20"/>
                <w:szCs w:val="20"/>
              </w:rPr>
            </w:r>
          </w:p>
          <w:p>
            <w:pPr>
              <w:pStyle w:val="Normal"/>
              <w:widowControl w:val="false"/>
              <w:suppressAutoHyphens w:val="true"/>
              <w:spacing w:lineRule="auto" w:line="276" w:before="0" w:after="120"/>
              <w:jc w:val="center"/>
              <w:rPr>
                <w:rFonts w:ascii="Arial" w:hAnsi="Arial" w:cs="Arial"/>
                <w:color w:val="000000"/>
                <w:sz w:val="20"/>
                <w:szCs w:val="20"/>
              </w:rPr>
            </w:pPr>
            <w:r>
              <w:rPr>
                <w:rFonts w:cs="Arial"/>
                <w:color w:val="000000"/>
                <w:sz w:val="20"/>
                <w:szCs w:val="20"/>
              </w:rPr>
            </w:r>
          </w:p>
          <w:p>
            <w:pPr>
              <w:pStyle w:val="Normal"/>
              <w:widowControl w:val="false"/>
              <w:suppressAutoHyphens w:val="true"/>
              <w:spacing w:lineRule="auto" w:line="276" w:before="0" w:after="120"/>
              <w:jc w:val="center"/>
              <w:rPr>
                <w:rFonts w:ascii="Arial" w:hAnsi="Arial" w:cs="Arial"/>
                <w:color w:val="000000"/>
                <w:sz w:val="20"/>
                <w:szCs w:val="20"/>
              </w:rPr>
            </w:pPr>
            <w:r>
              <w:rPr>
                <w:rFonts w:cs="Arial"/>
                <w:color w:val="000000"/>
                <w:sz w:val="20"/>
                <w:szCs w:val="20"/>
              </w:rPr>
            </w:r>
          </w:p>
          <w:p>
            <w:pPr>
              <w:pStyle w:val="Normal"/>
              <w:widowControl w:val="false"/>
              <w:suppressAutoHyphens w:val="true"/>
              <w:spacing w:lineRule="auto" w:line="276" w:before="0" w:after="120"/>
              <w:jc w:val="center"/>
              <w:rPr>
                <w:rFonts w:ascii="Arial" w:hAnsi="Arial" w:cs="Arial"/>
                <w:b/>
                <w:b/>
                <w:bCs/>
                <w:color w:val="000000"/>
                <w:sz w:val="20"/>
                <w:szCs w:val="20"/>
              </w:rPr>
            </w:pPr>
            <w:r>
              <w:rPr>
                <w:rFonts w:cs="Arial"/>
                <w:b/>
                <w:bCs/>
                <w:color w:val="000000"/>
                <w:sz w:val="20"/>
                <w:szCs w:val="20"/>
              </w:rPr>
              <w:t>ITEM 01</w:t>
            </w:r>
          </w:p>
          <w:p>
            <w:pPr>
              <w:pStyle w:val="Normal"/>
              <w:widowControl w:val="false"/>
              <w:suppressAutoHyphens w:val="true"/>
              <w:spacing w:lineRule="auto" w:line="276" w:before="0" w:after="120"/>
              <w:jc w:val="center"/>
              <w:rPr>
                <w:rFonts w:ascii="Arial" w:hAnsi="Arial" w:cs="Arial"/>
                <w:color w:val="000000"/>
                <w:sz w:val="20"/>
                <w:szCs w:val="20"/>
              </w:rPr>
            </w:pPr>
            <w:r>
              <w:rPr>
                <w:rFonts w:cs="Arial"/>
                <w:color w:val="000000"/>
                <w:sz w:val="20"/>
                <w:szCs w:val="20"/>
              </w:rPr>
            </w:r>
          </w:p>
          <w:p>
            <w:pPr>
              <w:pStyle w:val="Normal"/>
              <w:widowControl w:val="false"/>
              <w:suppressAutoHyphens w:val="true"/>
              <w:bidi w:val="0"/>
              <w:spacing w:lineRule="auto" w:line="276" w:before="0" w:after="120"/>
              <w:ind w:left="-113" w:right="0" w:hanging="0"/>
              <w:jc w:val="center"/>
              <w:rPr>
                <w:rFonts w:ascii="Arial" w:hAnsi="Arial" w:cs="Arial"/>
                <w:color w:val="000000"/>
                <w:sz w:val="20"/>
                <w:szCs w:val="20"/>
              </w:rPr>
            </w:pPr>
            <w:r>
              <w:rPr>
                <w:rFonts w:cs="Arial"/>
                <w:color w:val="000000"/>
                <w:sz w:val="20"/>
                <w:szCs w:val="20"/>
              </w:rPr>
              <w:t>Fornecimento de Produtos e serviços por meio de pacote  de serviços dos Correios</w:t>
            </w:r>
          </w:p>
          <w:p>
            <w:pPr>
              <w:pStyle w:val="Contedodatabela"/>
              <w:widowControl w:val="false"/>
              <w:suppressAutoHyphens w:val="true"/>
              <w:bidi w:val="0"/>
              <w:spacing w:lineRule="auto" w:line="276" w:before="0" w:after="120"/>
              <w:ind w:left="-113" w:right="0" w:hanging="0"/>
              <w:jc w:val="both"/>
              <w:rPr>
                <w:rFonts w:ascii="Arial" w:hAnsi="Arial"/>
                <w:color w:val="000000"/>
                <w:sz w:val="20"/>
                <w:szCs w:val="20"/>
              </w:rPr>
            </w:pPr>
            <w:r>
              <w:rPr>
                <w:rFonts w:eastAsia="SimSun;宋体" w:cs="Open Sans;sans-serif" w:ascii="Arial" w:hAnsi="Arial"/>
                <w:b/>
                <w:bCs/>
                <w:i w:val="false"/>
                <w:caps/>
                <w:color w:val="000000"/>
                <w:spacing w:val="0"/>
                <w:kern w:val="2"/>
                <w:sz w:val="20"/>
                <w:szCs w:val="20"/>
                <w:shd w:fill="FFFF00" w:val="clear"/>
                <w:lang w:val="pt-BR" w:eastAsia="zh-CN" w:bidi="hi-IN"/>
              </w:rPr>
              <w:t>CATMAT</w:t>
            </w:r>
            <w:r>
              <w:rPr>
                <w:rFonts w:eastAsia="SimSun;宋体" w:cs="Open Sans;sans-serif" w:ascii="Arial" w:hAnsi="Arial"/>
                <w:b w:val="false"/>
                <w:bCs/>
                <w:i w:val="false"/>
                <w:caps/>
                <w:color w:val="000000"/>
                <w:spacing w:val="0"/>
                <w:kern w:val="2"/>
                <w:sz w:val="20"/>
                <w:szCs w:val="20"/>
                <w:shd w:fill="FFFF00" w:val="clear"/>
                <w:lang w:val="pt-BR" w:eastAsia="zh-CN" w:bidi="hi-IN"/>
              </w:rPr>
              <w:t>:</w:t>
            </w:r>
            <w:r>
              <w:rPr>
                <w:rFonts w:eastAsia="SimSun;宋体" w:cs="Open Sans;sans-serif" w:ascii="Arial" w:hAnsi="Arial"/>
                <w:b/>
                <w:bCs/>
                <w:i w:val="false"/>
                <w:caps/>
                <w:color w:val="000000"/>
                <w:spacing w:val="0"/>
                <w:kern w:val="2"/>
                <w:sz w:val="20"/>
                <w:szCs w:val="20"/>
                <w:shd w:fill="FFFF00" w:val="clear"/>
                <w:lang w:val="pt-BR" w:eastAsia="zh-CN" w:bidi="hi-IN"/>
              </w:rPr>
              <w:t>14982</w:t>
            </w:r>
          </w:p>
          <w:p>
            <w:pPr>
              <w:pStyle w:val="Normal"/>
              <w:widowControl w:val="false"/>
              <w:suppressAutoHyphens w:val="true"/>
              <w:bidi w:val="0"/>
              <w:spacing w:lineRule="auto" w:line="276" w:before="0" w:after="120"/>
              <w:ind w:left="-113" w:right="0" w:hanging="0"/>
              <w:jc w:val="center"/>
              <w:rPr>
                <w:rFonts w:cs="Arial"/>
                <w:b/>
                <w:b/>
                <w:bCs/>
                <w:color w:val="000000"/>
                <w:sz w:val="20"/>
                <w:szCs w:val="20"/>
              </w:rPr>
            </w:pPr>
            <w:r>
              <w:rPr>
                <w:rFonts w:cs="Arial"/>
                <w:b/>
                <w:bCs/>
                <w:color w:val="000000"/>
                <w:sz w:val="20"/>
                <w:szCs w:val="20"/>
              </w:rPr>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ascii="Arial" w:hAnsi="Arial" w:cs="Arial"/>
                <w:color w:val="000000"/>
                <w:sz w:val="20"/>
                <w:szCs w:val="20"/>
              </w:rPr>
            </w:pPr>
            <w:r>
              <w:rPr>
                <w:rFonts w:cs="Arial"/>
                <w:color w:val="000000"/>
                <w:sz w:val="20"/>
                <w:szCs w:val="20"/>
              </w:rPr>
              <w:t>1</w:t>
            </w:r>
          </w:p>
        </w:tc>
        <w:tc>
          <w:tcPr>
            <w:tcW w:w="2984" w:type="dxa"/>
            <w:tcBorders>
              <w:top w:val="single" w:sz="4" w:space="0" w:color="000000"/>
              <w:left w:val="single" w:sz="4" w:space="0" w:color="000000"/>
              <w:bottom w:val="single" w:sz="4" w:space="0" w:color="000000"/>
              <w:right w:val="single" w:sz="4" w:space="0" w:color="000000"/>
            </w:tcBorders>
          </w:tcPr>
          <w:p>
            <w:pPr>
              <w:pStyle w:val="Contedodatabela"/>
              <w:widowControl w:val="false"/>
              <w:jc w:val="both"/>
              <w:rPr>
                <w:rFonts w:ascii="Arial" w:hAnsi="Arial"/>
                <w:color w:val="000000"/>
                <w:sz w:val="20"/>
                <w:szCs w:val="20"/>
              </w:rPr>
            </w:pPr>
            <w:r>
              <w:rPr>
                <w:rFonts w:eastAsia="SimSun;宋体" w:cs="Open Sans;sans-serif" w:ascii="Arial" w:hAnsi="Arial"/>
                <w:b w:val="false"/>
                <w:i w:val="false"/>
                <w:caps/>
                <w:color w:val="000000"/>
                <w:spacing w:val="0"/>
                <w:kern w:val="2"/>
                <w:sz w:val="20"/>
                <w:szCs w:val="20"/>
                <w:lang w:val="pt-BR" w:eastAsia="zh-CN" w:bidi="hi-IN"/>
              </w:rPr>
              <w:t>COMUNICAÇÃO POR CORREIO – CARTA REGISTRADA. 0 A 20 GRAMAS</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ascii="Arial" w:hAnsi="Arial" w:eastAsia="Times New Roman" w:cs="Arial"/>
                <w:color w:val="000000"/>
                <w:kern w:val="0"/>
                <w:sz w:val="20"/>
                <w:szCs w:val="20"/>
                <w:lang w:val="pt-BR" w:eastAsia="pt-BR" w:bidi="ar-SA"/>
              </w:rPr>
            </w:pPr>
            <w:r>
              <w:rPr>
                <w:rFonts w:eastAsia="Times New Roman" w:cs="Arial"/>
                <w:color w:val="000000"/>
                <w:kern w:val="0"/>
                <w:sz w:val="20"/>
                <w:szCs w:val="20"/>
                <w:lang w:val="pt-BR" w:eastAsia="pt-BR" w:bidi="ar-SA"/>
              </w:rPr>
              <w:t>Unidade</w:t>
            </w:r>
          </w:p>
        </w:tc>
        <w:tc>
          <w:tcPr>
            <w:tcW w:w="1133" w:type="dxa"/>
            <w:tcBorders>
              <w:top w:val="single" w:sz="4" w:space="0" w:color="000000"/>
              <w:left w:val="single" w:sz="4" w:space="0" w:color="000000"/>
              <w:bottom w:val="single" w:sz="4" w:space="0" w:color="000000"/>
              <w:right w:val="single" w:sz="4" w:space="0" w:color="000000"/>
            </w:tcBorders>
          </w:tcPr>
          <w:p>
            <w:pPr>
              <w:pStyle w:val="Contedodatabela"/>
              <w:widowControl w:val="false"/>
              <w:jc w:val="center"/>
              <w:rPr>
                <w:rFonts w:ascii="Arial" w:hAnsi="Arial" w:eastAsia="Times New Roman" w:cs="Arial"/>
                <w:b w:val="false"/>
                <w:b w:val="false"/>
                <w:i w:val="false"/>
                <w:i w:val="false"/>
                <w:caps/>
                <w:color w:val="000000"/>
                <w:spacing w:val="0"/>
                <w:kern w:val="0"/>
                <w:sz w:val="20"/>
                <w:szCs w:val="20"/>
                <w:highlight w:val="none"/>
                <w:shd w:fill="auto" w:val="clear"/>
                <w:lang w:val="pt-BR" w:eastAsia="pt-BR" w:bidi="ar-SA"/>
              </w:rPr>
            </w:pPr>
            <w:r>
              <w:rPr>
                <w:rFonts w:eastAsia="Times New Roman" w:cs="Arial" w:ascii="Arial" w:hAnsi="Arial"/>
                <w:b w:val="false"/>
                <w:i w:val="false"/>
                <w:caps/>
                <w:color w:val="000000"/>
                <w:spacing w:val="0"/>
                <w:kern w:val="0"/>
                <w:sz w:val="20"/>
                <w:szCs w:val="20"/>
                <w:shd w:fill="auto" w:val="clear"/>
                <w:lang w:val="pt-BR" w:eastAsia="pt-BR" w:bidi="ar-SA"/>
              </w:rPr>
              <w:t>48</w:t>
            </w:r>
          </w:p>
        </w:tc>
        <w:tc>
          <w:tcPr>
            <w:tcW w:w="1305" w:type="dxa"/>
            <w:tcBorders>
              <w:top w:val="single" w:sz="4" w:space="0" w:color="000000"/>
              <w:left w:val="single" w:sz="4" w:space="0" w:color="000000"/>
              <w:bottom w:val="single" w:sz="4" w:space="0" w:color="000000"/>
            </w:tcBorders>
          </w:tcPr>
          <w:p>
            <w:pPr>
              <w:pStyle w:val="Normal"/>
              <w:widowControl w:val="false"/>
              <w:suppressAutoHyphens w:val="true"/>
              <w:spacing w:lineRule="auto" w:line="276" w:before="0" w:after="120"/>
              <w:rPr>
                <w:rFonts w:ascii="Arial" w:hAnsi="Arial" w:eastAsia="Times New Roman" w:cs="Arial"/>
                <w:color w:val="000000"/>
                <w:kern w:val="0"/>
                <w:sz w:val="20"/>
                <w:szCs w:val="20"/>
                <w:lang w:val="pt-BR" w:eastAsia="pt-BR" w:bidi="ar-SA"/>
              </w:rPr>
            </w:pPr>
            <w:r>
              <w:rPr>
                <w:rFonts w:eastAsia="Times New Roman" w:cs="Arial"/>
                <w:color w:val="000000"/>
                <w:kern w:val="0"/>
                <w:sz w:val="20"/>
                <w:szCs w:val="20"/>
                <w:lang w:val="pt-BR" w:eastAsia="pt-BR" w:bidi="ar-SA"/>
              </w:rPr>
              <w:t>9.35</w:t>
            </w:r>
          </w:p>
        </w:tc>
        <w:tc>
          <w:tcPr>
            <w:tcW w:w="1256" w:type="dxa"/>
            <w:tcBorders>
              <w:top w:val="single" w:sz="4" w:space="0" w:color="000000"/>
              <w:left w:val="single" w:sz="4" w:space="0" w:color="000000"/>
              <w:bottom w:val="single" w:sz="4" w:space="0" w:color="000000"/>
              <w:right w:val="single" w:sz="4" w:space="0" w:color="000000"/>
            </w:tcBorders>
          </w:tcPr>
          <w:p>
            <w:pPr>
              <w:pStyle w:val="Contedodatabela"/>
              <w:widowControl w:val="false"/>
              <w:jc w:val="center"/>
              <w:rPr>
                <w:rFonts w:ascii="Arial" w:hAnsi="Arial" w:eastAsia="Times New Roman" w:cs="Arial"/>
                <w:color w:val="000000"/>
                <w:kern w:val="0"/>
                <w:sz w:val="20"/>
                <w:szCs w:val="20"/>
                <w:highlight w:val="none"/>
                <w:shd w:fill="auto" w:val="clear"/>
                <w:lang w:val="pt-BR" w:eastAsia="pt-BR" w:bidi="ar-SA"/>
              </w:rPr>
            </w:pPr>
            <w:r>
              <w:rPr>
                <w:rFonts w:eastAsia="Times New Roman" w:cs="Arial" w:ascii="Arial" w:hAnsi="Arial"/>
                <w:color w:val="000000"/>
                <w:kern w:val="0"/>
                <w:sz w:val="20"/>
                <w:szCs w:val="20"/>
                <w:shd w:fill="auto" w:val="clear"/>
                <w:lang w:val="pt-BR" w:eastAsia="pt-BR" w:bidi="ar-SA"/>
              </w:rPr>
              <w:t>448,80</w:t>
            </w:r>
          </w:p>
        </w:tc>
      </w:tr>
      <w:tr>
        <w:trPr/>
        <w:tc>
          <w:tcPr>
            <w:tcW w:w="1550" w:type="dxa"/>
            <w:vMerge w:val="continue"/>
            <w:tcBorders>
              <w:top w:val="single" w:sz="4" w:space="0" w:color="000000"/>
              <w:left w:val="single" w:sz="4" w:space="0" w:color="000000"/>
              <w:bottom w:val="single" w:sz="4" w:space="0" w:color="000000"/>
            </w:tcBorders>
          </w:tcPr>
          <w:p>
            <w:pPr>
              <w:pStyle w:val="Normal"/>
              <w:widowControl w:val="false"/>
              <w:suppressAutoHyphens w:val="true"/>
              <w:spacing w:lineRule="auto" w:line="276" w:before="0" w:after="120"/>
              <w:jc w:val="center"/>
              <w:rPr>
                <w:rFonts w:ascii="Arial" w:hAnsi="Arial" w:cs="Arial"/>
                <w:color w:val="000000"/>
                <w:sz w:val="20"/>
                <w:szCs w:val="20"/>
              </w:rPr>
            </w:pPr>
            <w:r>
              <w:rPr>
                <w:rFonts w:cs="Arial"/>
                <w:color w:val="000000"/>
                <w:sz w:val="20"/>
                <w:szCs w:val="20"/>
              </w:rPr>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ascii="Arial" w:hAnsi="Arial" w:cs="Arial"/>
                <w:color w:val="000000"/>
                <w:sz w:val="20"/>
                <w:szCs w:val="20"/>
              </w:rPr>
            </w:pPr>
            <w:r>
              <w:rPr>
                <w:rFonts w:cs="Arial"/>
                <w:color w:val="000000"/>
                <w:sz w:val="20"/>
                <w:szCs w:val="20"/>
              </w:rPr>
              <w:t>2</w:t>
            </w:r>
          </w:p>
        </w:tc>
        <w:tc>
          <w:tcPr>
            <w:tcW w:w="2984" w:type="dxa"/>
            <w:tcBorders>
              <w:top w:val="single" w:sz="4" w:space="0" w:color="000000"/>
              <w:left w:val="single" w:sz="4" w:space="0" w:color="000000"/>
              <w:bottom w:val="single" w:sz="4" w:space="0" w:color="000000"/>
              <w:right w:val="single" w:sz="4" w:space="0" w:color="000000"/>
            </w:tcBorders>
          </w:tcPr>
          <w:p>
            <w:pPr>
              <w:pStyle w:val="Contedodatabela"/>
              <w:widowControl w:val="false"/>
              <w:bidi w:val="0"/>
              <w:jc w:val="both"/>
              <w:rPr>
                <w:rFonts w:ascii="Arial" w:hAnsi="Arial"/>
                <w:color w:val="000000"/>
                <w:sz w:val="20"/>
                <w:szCs w:val="20"/>
              </w:rPr>
            </w:pPr>
            <w:r>
              <w:rPr>
                <w:rFonts w:eastAsia="SimSun;宋体" w:cs="Open Sans;sans-serif" w:ascii="Arial" w:hAnsi="Arial"/>
                <w:b w:val="false"/>
                <w:i w:val="false"/>
                <w:caps/>
                <w:color w:val="000000"/>
                <w:spacing w:val="0"/>
                <w:kern w:val="2"/>
                <w:sz w:val="20"/>
                <w:szCs w:val="20"/>
                <w:lang w:val="pt-BR" w:eastAsia="zh-CN" w:bidi="hi-IN"/>
              </w:rPr>
              <w:t>COMUNICAÇÃO POR CORREIO – CARTA REGISTRADA ACIMA DE 20 A 50 GRAMAS .</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ascii="Arial" w:hAnsi="Arial" w:eastAsia="Times New Roman" w:cs="Arial"/>
                <w:color w:val="000000"/>
                <w:kern w:val="0"/>
                <w:sz w:val="20"/>
                <w:szCs w:val="20"/>
                <w:lang w:val="pt-BR" w:eastAsia="pt-BR" w:bidi="ar-SA"/>
              </w:rPr>
            </w:pPr>
            <w:r>
              <w:rPr>
                <w:rFonts w:eastAsia="Times New Roman" w:cs="Arial"/>
                <w:color w:val="000000"/>
                <w:kern w:val="0"/>
                <w:sz w:val="20"/>
                <w:szCs w:val="20"/>
                <w:lang w:val="pt-BR" w:eastAsia="pt-BR" w:bidi="ar-SA"/>
              </w:rPr>
              <w:t>Unidade</w:t>
            </w:r>
          </w:p>
        </w:tc>
        <w:tc>
          <w:tcPr>
            <w:tcW w:w="1133" w:type="dxa"/>
            <w:tcBorders>
              <w:top w:val="single" w:sz="4" w:space="0" w:color="000000"/>
              <w:left w:val="single" w:sz="4" w:space="0" w:color="000000"/>
              <w:bottom w:val="single" w:sz="4" w:space="0" w:color="000000"/>
              <w:right w:val="single" w:sz="4" w:space="0" w:color="000000"/>
            </w:tcBorders>
          </w:tcPr>
          <w:p>
            <w:pPr>
              <w:pStyle w:val="Contedodatabela"/>
              <w:widowControl w:val="false"/>
              <w:jc w:val="center"/>
              <w:rPr>
                <w:rFonts w:ascii="Arial" w:hAnsi="Arial" w:eastAsia="Times New Roman" w:cs="Arial"/>
                <w:b w:val="false"/>
                <w:b w:val="false"/>
                <w:i w:val="false"/>
                <w:i w:val="false"/>
                <w:caps/>
                <w:color w:val="000000"/>
                <w:spacing w:val="0"/>
                <w:kern w:val="0"/>
                <w:sz w:val="20"/>
                <w:szCs w:val="20"/>
                <w:highlight w:val="none"/>
                <w:shd w:fill="auto" w:val="clear"/>
                <w:lang w:val="pt-BR" w:eastAsia="pt-BR" w:bidi="ar-SA"/>
              </w:rPr>
            </w:pPr>
            <w:r>
              <w:rPr>
                <w:rFonts w:eastAsia="Times New Roman" w:cs="Arial" w:ascii="Arial" w:hAnsi="Arial"/>
                <w:b w:val="false"/>
                <w:i w:val="false"/>
                <w:caps/>
                <w:color w:val="000000"/>
                <w:spacing w:val="0"/>
                <w:kern w:val="0"/>
                <w:sz w:val="20"/>
                <w:szCs w:val="20"/>
                <w:shd w:fill="auto" w:val="clear"/>
                <w:lang w:val="pt-BR" w:eastAsia="pt-BR" w:bidi="ar-SA"/>
              </w:rPr>
              <w:t>48</w:t>
            </w:r>
          </w:p>
        </w:tc>
        <w:tc>
          <w:tcPr>
            <w:tcW w:w="1305" w:type="dxa"/>
            <w:tcBorders>
              <w:top w:val="single" w:sz="4" w:space="0" w:color="000000"/>
              <w:left w:val="single" w:sz="4" w:space="0" w:color="000000"/>
              <w:bottom w:val="single" w:sz="4" w:space="0" w:color="000000"/>
            </w:tcBorders>
          </w:tcPr>
          <w:p>
            <w:pPr>
              <w:pStyle w:val="Normal"/>
              <w:widowControl w:val="false"/>
              <w:suppressAutoHyphens w:val="true"/>
              <w:spacing w:lineRule="auto" w:line="276" w:before="0" w:after="120"/>
              <w:rPr>
                <w:rFonts w:ascii="Arial" w:hAnsi="Arial" w:eastAsia="Times New Roman" w:cs="Arial"/>
                <w:color w:val="000000"/>
                <w:kern w:val="0"/>
                <w:sz w:val="20"/>
                <w:szCs w:val="20"/>
                <w:lang w:val="pt-BR" w:eastAsia="pt-BR" w:bidi="ar-SA"/>
              </w:rPr>
            </w:pPr>
            <w:r>
              <w:rPr>
                <w:rFonts w:eastAsia="Times New Roman" w:cs="Arial"/>
                <w:color w:val="000000"/>
                <w:kern w:val="0"/>
                <w:sz w:val="20"/>
                <w:szCs w:val="20"/>
                <w:lang w:val="pt-BR" w:eastAsia="pt-BR" w:bidi="ar-SA"/>
              </w:rPr>
              <w:t>10,25</w:t>
            </w:r>
          </w:p>
        </w:tc>
        <w:tc>
          <w:tcPr>
            <w:tcW w:w="1256" w:type="dxa"/>
            <w:tcBorders>
              <w:top w:val="single" w:sz="4" w:space="0" w:color="000000"/>
              <w:left w:val="single" w:sz="4" w:space="0" w:color="000000"/>
              <w:bottom w:val="single" w:sz="4" w:space="0" w:color="000000"/>
              <w:right w:val="single" w:sz="4" w:space="0" w:color="000000"/>
            </w:tcBorders>
          </w:tcPr>
          <w:p>
            <w:pPr>
              <w:pStyle w:val="Contedodatabela"/>
              <w:widowControl w:val="false"/>
              <w:jc w:val="center"/>
              <w:rPr>
                <w:rFonts w:ascii="Arial" w:hAnsi="Arial" w:eastAsia="Times New Roman" w:cs="Arial"/>
                <w:color w:val="000000"/>
                <w:kern w:val="0"/>
                <w:sz w:val="20"/>
                <w:szCs w:val="20"/>
                <w:highlight w:val="none"/>
                <w:shd w:fill="auto" w:val="clear"/>
                <w:lang w:val="pt-BR" w:eastAsia="pt-BR" w:bidi="ar-SA"/>
              </w:rPr>
            </w:pPr>
            <w:r>
              <w:rPr>
                <w:rFonts w:eastAsia="Times New Roman" w:cs="Arial" w:ascii="Arial" w:hAnsi="Arial"/>
                <w:color w:val="000000"/>
                <w:kern w:val="0"/>
                <w:sz w:val="20"/>
                <w:szCs w:val="20"/>
                <w:shd w:fill="auto" w:val="clear"/>
                <w:lang w:val="pt-BR" w:eastAsia="pt-BR" w:bidi="ar-SA"/>
              </w:rPr>
              <w:t>492,00</w:t>
            </w:r>
          </w:p>
        </w:tc>
      </w:tr>
      <w:tr>
        <w:trPr/>
        <w:tc>
          <w:tcPr>
            <w:tcW w:w="1550" w:type="dxa"/>
            <w:vMerge w:val="continue"/>
            <w:tcBorders>
              <w:top w:val="single" w:sz="4" w:space="0" w:color="000000"/>
              <w:left w:val="single" w:sz="4" w:space="0" w:color="000000"/>
              <w:bottom w:val="single" w:sz="4" w:space="0" w:color="000000"/>
            </w:tcBorders>
          </w:tcPr>
          <w:p>
            <w:pPr>
              <w:pStyle w:val="Normal"/>
              <w:widowControl w:val="false"/>
              <w:suppressAutoHyphens w:val="true"/>
              <w:spacing w:lineRule="auto" w:line="276" w:before="0" w:after="120"/>
              <w:jc w:val="center"/>
              <w:rPr>
                <w:rFonts w:ascii="Arial" w:hAnsi="Arial" w:cs="Arial"/>
                <w:color w:val="000000"/>
                <w:sz w:val="20"/>
                <w:szCs w:val="20"/>
              </w:rPr>
            </w:pPr>
            <w:r>
              <w:rPr>
                <w:rFonts w:cs="Arial"/>
                <w:color w:val="000000"/>
                <w:sz w:val="20"/>
                <w:szCs w:val="20"/>
              </w:rPr>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ascii="Arial" w:hAnsi="Arial" w:cs="Arial"/>
                <w:color w:val="000000"/>
                <w:sz w:val="20"/>
                <w:szCs w:val="20"/>
              </w:rPr>
            </w:pPr>
            <w:r>
              <w:rPr>
                <w:rFonts w:cs="Arial"/>
                <w:color w:val="000000"/>
                <w:sz w:val="20"/>
                <w:szCs w:val="20"/>
              </w:rPr>
              <w:t>3</w:t>
            </w:r>
          </w:p>
        </w:tc>
        <w:tc>
          <w:tcPr>
            <w:tcW w:w="2984" w:type="dxa"/>
            <w:tcBorders>
              <w:top w:val="single" w:sz="4" w:space="0" w:color="000000"/>
              <w:left w:val="single" w:sz="4" w:space="0" w:color="000000"/>
              <w:bottom w:val="single" w:sz="4" w:space="0" w:color="000000"/>
              <w:right w:val="single" w:sz="4" w:space="0" w:color="000000"/>
            </w:tcBorders>
          </w:tcPr>
          <w:p>
            <w:pPr>
              <w:pStyle w:val="Contedodatabela"/>
              <w:widowControl w:val="false"/>
              <w:bidi w:val="0"/>
              <w:jc w:val="both"/>
              <w:rPr>
                <w:rFonts w:ascii="Arial" w:hAnsi="Arial"/>
                <w:color w:val="000000"/>
                <w:sz w:val="20"/>
                <w:szCs w:val="20"/>
              </w:rPr>
            </w:pPr>
            <w:r>
              <w:rPr>
                <w:rFonts w:eastAsia="SimSun;宋体" w:cs="Open Sans;sans-serif" w:ascii="Arial" w:hAnsi="Arial"/>
                <w:b w:val="false"/>
                <w:i w:val="false"/>
                <w:caps/>
                <w:color w:val="000000"/>
                <w:spacing w:val="0"/>
                <w:kern w:val="2"/>
                <w:sz w:val="20"/>
                <w:szCs w:val="20"/>
                <w:lang w:val="pt-BR" w:eastAsia="zh-CN" w:bidi="hi-IN"/>
              </w:rPr>
              <w:t>COMUNICAÇÃO POR CORREIO – CARTA REGISTRADA – ACIMA DE 50 A 100 GRAMAS.</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ascii="Arial" w:hAnsi="Arial" w:eastAsia="Times New Roman" w:cs="Arial"/>
                <w:color w:val="000000"/>
                <w:kern w:val="0"/>
                <w:sz w:val="20"/>
                <w:szCs w:val="20"/>
                <w:lang w:val="pt-BR" w:eastAsia="pt-BR" w:bidi="ar-SA"/>
              </w:rPr>
            </w:pPr>
            <w:r>
              <w:rPr>
                <w:rFonts w:eastAsia="Times New Roman" w:cs="Arial"/>
                <w:color w:val="000000"/>
                <w:kern w:val="0"/>
                <w:sz w:val="20"/>
                <w:szCs w:val="20"/>
                <w:lang w:val="pt-BR" w:eastAsia="pt-BR" w:bidi="ar-SA"/>
              </w:rPr>
              <w:t>Unidade</w:t>
            </w:r>
          </w:p>
        </w:tc>
        <w:tc>
          <w:tcPr>
            <w:tcW w:w="1133" w:type="dxa"/>
            <w:tcBorders>
              <w:top w:val="single" w:sz="4" w:space="0" w:color="000000"/>
              <w:left w:val="single" w:sz="4" w:space="0" w:color="000000"/>
              <w:bottom w:val="single" w:sz="4" w:space="0" w:color="000000"/>
              <w:right w:val="single" w:sz="4" w:space="0" w:color="000000"/>
            </w:tcBorders>
          </w:tcPr>
          <w:p>
            <w:pPr>
              <w:pStyle w:val="Contedodatabela"/>
              <w:widowControl w:val="false"/>
              <w:jc w:val="center"/>
              <w:rPr>
                <w:rFonts w:ascii="Arial" w:hAnsi="Arial" w:eastAsia="Times New Roman" w:cs="Arial"/>
                <w:b w:val="false"/>
                <w:b w:val="false"/>
                <w:i w:val="false"/>
                <w:i w:val="false"/>
                <w:caps/>
                <w:color w:val="000000"/>
                <w:spacing w:val="0"/>
                <w:kern w:val="0"/>
                <w:sz w:val="20"/>
                <w:szCs w:val="20"/>
                <w:highlight w:val="none"/>
                <w:shd w:fill="auto" w:val="clear"/>
                <w:lang w:val="pt-BR" w:eastAsia="pt-BR" w:bidi="ar-SA"/>
              </w:rPr>
            </w:pPr>
            <w:r>
              <w:rPr>
                <w:rFonts w:eastAsia="Times New Roman" w:cs="Arial" w:ascii="Arial" w:hAnsi="Arial"/>
                <w:b w:val="false"/>
                <w:i w:val="false"/>
                <w:caps/>
                <w:color w:val="000000"/>
                <w:spacing w:val="0"/>
                <w:kern w:val="0"/>
                <w:sz w:val="20"/>
                <w:szCs w:val="20"/>
                <w:shd w:fill="auto" w:val="clear"/>
                <w:lang w:val="pt-BR" w:eastAsia="pt-BR" w:bidi="ar-SA"/>
              </w:rPr>
              <w:t>36</w:t>
            </w:r>
          </w:p>
        </w:tc>
        <w:tc>
          <w:tcPr>
            <w:tcW w:w="1305" w:type="dxa"/>
            <w:tcBorders>
              <w:top w:val="single" w:sz="4" w:space="0" w:color="000000"/>
              <w:left w:val="single" w:sz="4" w:space="0" w:color="000000"/>
              <w:bottom w:val="single" w:sz="4" w:space="0" w:color="000000"/>
            </w:tcBorders>
          </w:tcPr>
          <w:p>
            <w:pPr>
              <w:pStyle w:val="Normal"/>
              <w:widowControl w:val="false"/>
              <w:suppressAutoHyphens w:val="true"/>
              <w:spacing w:lineRule="auto" w:line="276" w:before="0" w:after="120"/>
              <w:rPr>
                <w:rFonts w:ascii="Arial" w:hAnsi="Arial" w:eastAsia="Times New Roman" w:cs="Arial"/>
                <w:color w:val="000000"/>
                <w:kern w:val="0"/>
                <w:sz w:val="20"/>
                <w:szCs w:val="20"/>
                <w:lang w:val="pt-BR" w:eastAsia="pt-BR" w:bidi="ar-SA"/>
              </w:rPr>
            </w:pPr>
            <w:r>
              <w:rPr>
                <w:rFonts w:eastAsia="Times New Roman" w:cs="Arial"/>
                <w:color w:val="000000"/>
                <w:kern w:val="0"/>
                <w:sz w:val="20"/>
                <w:szCs w:val="20"/>
                <w:lang w:val="pt-BR" w:eastAsia="pt-BR" w:bidi="ar-SA"/>
              </w:rPr>
              <w:t>11,50</w:t>
            </w:r>
          </w:p>
        </w:tc>
        <w:tc>
          <w:tcPr>
            <w:tcW w:w="1256" w:type="dxa"/>
            <w:tcBorders>
              <w:top w:val="single" w:sz="4" w:space="0" w:color="000000"/>
              <w:left w:val="single" w:sz="4" w:space="0" w:color="000000"/>
              <w:bottom w:val="single" w:sz="4" w:space="0" w:color="000000"/>
              <w:right w:val="single" w:sz="4" w:space="0" w:color="000000"/>
            </w:tcBorders>
          </w:tcPr>
          <w:p>
            <w:pPr>
              <w:pStyle w:val="Contedodatabela"/>
              <w:widowControl w:val="false"/>
              <w:jc w:val="center"/>
              <w:rPr>
                <w:rFonts w:ascii="Arial" w:hAnsi="Arial" w:eastAsia="Times New Roman" w:cs="Arial"/>
                <w:color w:val="000000"/>
                <w:kern w:val="0"/>
                <w:sz w:val="20"/>
                <w:szCs w:val="20"/>
                <w:highlight w:val="none"/>
                <w:shd w:fill="auto" w:val="clear"/>
                <w:lang w:val="pt-BR" w:eastAsia="pt-BR" w:bidi="ar-SA"/>
              </w:rPr>
            </w:pPr>
            <w:r>
              <w:rPr>
                <w:rFonts w:eastAsia="Times New Roman" w:cs="Arial" w:ascii="Arial" w:hAnsi="Arial"/>
                <w:color w:val="000000"/>
                <w:kern w:val="0"/>
                <w:sz w:val="20"/>
                <w:szCs w:val="20"/>
                <w:shd w:fill="auto" w:val="clear"/>
                <w:lang w:val="pt-BR" w:eastAsia="pt-BR" w:bidi="ar-SA"/>
              </w:rPr>
              <w:t>414,00</w:t>
            </w:r>
          </w:p>
        </w:tc>
      </w:tr>
      <w:tr>
        <w:trPr>
          <w:trHeight w:val="824" w:hRule="atLeast"/>
        </w:trPr>
        <w:tc>
          <w:tcPr>
            <w:tcW w:w="1550" w:type="dxa"/>
            <w:vMerge w:val="continue"/>
            <w:tcBorders>
              <w:top w:val="single" w:sz="4" w:space="0" w:color="000000"/>
              <w:left w:val="single" w:sz="4" w:space="0" w:color="000000"/>
              <w:bottom w:val="single" w:sz="4" w:space="0" w:color="000000"/>
            </w:tcBorders>
          </w:tcPr>
          <w:p>
            <w:pPr>
              <w:pStyle w:val="Normal"/>
              <w:widowControl w:val="false"/>
              <w:suppressAutoHyphens w:val="true"/>
              <w:spacing w:lineRule="auto" w:line="276" w:before="0" w:after="120"/>
              <w:jc w:val="center"/>
              <w:rPr>
                <w:rFonts w:ascii="Arial" w:hAnsi="Arial" w:cs="Arial"/>
                <w:color w:val="000000"/>
                <w:sz w:val="20"/>
                <w:szCs w:val="20"/>
              </w:rPr>
            </w:pPr>
            <w:r>
              <w:rPr>
                <w:rFonts w:cs="Arial"/>
                <w:color w:val="000000"/>
                <w:sz w:val="20"/>
                <w:szCs w:val="20"/>
              </w:rPr>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ascii="Arial" w:hAnsi="Arial" w:cs="Arial"/>
                <w:color w:val="000000"/>
                <w:sz w:val="20"/>
                <w:szCs w:val="20"/>
              </w:rPr>
            </w:pPr>
            <w:r>
              <w:rPr>
                <w:rFonts w:cs="Arial"/>
                <w:color w:val="000000"/>
                <w:sz w:val="20"/>
                <w:szCs w:val="20"/>
              </w:rPr>
              <w:t>4</w:t>
            </w:r>
          </w:p>
        </w:tc>
        <w:tc>
          <w:tcPr>
            <w:tcW w:w="2984" w:type="dxa"/>
            <w:tcBorders>
              <w:top w:val="single" w:sz="4" w:space="0" w:color="000000"/>
              <w:left w:val="single" w:sz="4" w:space="0" w:color="000000"/>
              <w:bottom w:val="single" w:sz="4" w:space="0" w:color="000000"/>
              <w:right w:val="single" w:sz="4" w:space="0" w:color="000000"/>
            </w:tcBorders>
          </w:tcPr>
          <w:p>
            <w:pPr>
              <w:pStyle w:val="Contedodatabela"/>
              <w:widowControl w:val="false"/>
              <w:bidi w:val="0"/>
              <w:jc w:val="both"/>
              <w:rPr>
                <w:rFonts w:ascii="Arial" w:hAnsi="Arial"/>
                <w:color w:val="000000"/>
                <w:sz w:val="20"/>
                <w:szCs w:val="20"/>
              </w:rPr>
            </w:pPr>
            <w:r>
              <w:rPr>
                <w:rFonts w:eastAsia="SimSun;宋体" w:cs="Open Sans;sans-serif" w:ascii="Arial" w:hAnsi="Arial"/>
                <w:b w:val="false"/>
                <w:i w:val="false"/>
                <w:caps/>
                <w:color w:val="000000"/>
                <w:spacing w:val="0"/>
                <w:kern w:val="2"/>
                <w:sz w:val="20"/>
                <w:szCs w:val="20"/>
                <w:lang w:val="pt-BR" w:eastAsia="zh-CN" w:bidi="hi-IN"/>
              </w:rPr>
              <w:t>COMUNICAÇÃO POR CORREIO – CARTA REGISTRADA   – ACIMA DE 100 A 150 GRAMAS.</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ascii="Arial" w:hAnsi="Arial" w:eastAsia="Times New Roman" w:cs="Arial"/>
                <w:color w:val="000000"/>
                <w:kern w:val="0"/>
                <w:sz w:val="20"/>
                <w:szCs w:val="20"/>
                <w:lang w:val="pt-BR" w:eastAsia="pt-BR" w:bidi="ar-SA"/>
              </w:rPr>
            </w:pPr>
            <w:r>
              <w:rPr>
                <w:rFonts w:eastAsia="Times New Roman" w:cs="Arial"/>
                <w:color w:val="000000"/>
                <w:kern w:val="0"/>
                <w:sz w:val="20"/>
                <w:szCs w:val="20"/>
                <w:lang w:val="pt-BR" w:eastAsia="pt-BR" w:bidi="ar-SA"/>
              </w:rPr>
              <w:t>Unidade</w:t>
            </w:r>
          </w:p>
        </w:tc>
        <w:tc>
          <w:tcPr>
            <w:tcW w:w="1133" w:type="dxa"/>
            <w:tcBorders>
              <w:top w:val="single" w:sz="4" w:space="0" w:color="000000"/>
              <w:left w:val="single" w:sz="4" w:space="0" w:color="000000"/>
              <w:bottom w:val="single" w:sz="4" w:space="0" w:color="000000"/>
              <w:right w:val="single" w:sz="4" w:space="0" w:color="000000"/>
            </w:tcBorders>
          </w:tcPr>
          <w:p>
            <w:pPr>
              <w:pStyle w:val="Contedodatabela"/>
              <w:widowControl w:val="false"/>
              <w:jc w:val="center"/>
              <w:rPr>
                <w:rFonts w:ascii="Arial" w:hAnsi="Arial" w:eastAsia="Times New Roman" w:cs="Arial"/>
                <w:b w:val="false"/>
                <w:b w:val="false"/>
                <w:bCs/>
                <w:i w:val="false"/>
                <w:i w:val="false"/>
                <w:caps/>
                <w:color w:val="000000"/>
                <w:spacing w:val="0"/>
                <w:kern w:val="0"/>
                <w:sz w:val="20"/>
                <w:szCs w:val="20"/>
                <w:highlight w:val="none"/>
                <w:shd w:fill="auto" w:val="clear"/>
                <w:lang w:val="pt-BR" w:eastAsia="pt-BR" w:bidi="ar-SA"/>
              </w:rPr>
            </w:pPr>
            <w:r>
              <w:rPr>
                <w:rFonts w:eastAsia="Times New Roman" w:cs="Arial" w:ascii="Arial" w:hAnsi="Arial"/>
                <w:b w:val="false"/>
                <w:bCs/>
                <w:i w:val="false"/>
                <w:caps/>
                <w:color w:val="000000"/>
                <w:spacing w:val="0"/>
                <w:kern w:val="0"/>
                <w:sz w:val="20"/>
                <w:szCs w:val="20"/>
                <w:shd w:fill="auto" w:val="clear"/>
                <w:lang w:val="pt-BR" w:eastAsia="pt-BR" w:bidi="ar-SA"/>
              </w:rPr>
              <w:t>24</w:t>
            </w:r>
          </w:p>
        </w:tc>
        <w:tc>
          <w:tcPr>
            <w:tcW w:w="1305" w:type="dxa"/>
            <w:tcBorders>
              <w:top w:val="single" w:sz="4" w:space="0" w:color="000000"/>
              <w:left w:val="single" w:sz="4" w:space="0" w:color="000000"/>
              <w:bottom w:val="single" w:sz="4" w:space="0" w:color="000000"/>
            </w:tcBorders>
          </w:tcPr>
          <w:p>
            <w:pPr>
              <w:pStyle w:val="Normal"/>
              <w:widowControl w:val="false"/>
              <w:suppressAutoHyphens w:val="true"/>
              <w:spacing w:lineRule="auto" w:line="276" w:before="0" w:after="120"/>
              <w:rPr>
                <w:rFonts w:ascii="Arial" w:hAnsi="Arial" w:eastAsia="Times New Roman" w:cs="Arial"/>
                <w:color w:val="000000"/>
                <w:kern w:val="0"/>
                <w:sz w:val="20"/>
                <w:szCs w:val="20"/>
                <w:lang w:val="pt-BR" w:eastAsia="pt-BR" w:bidi="ar-SA"/>
              </w:rPr>
            </w:pPr>
            <w:r>
              <w:rPr>
                <w:rFonts w:eastAsia="Times New Roman" w:cs="Arial"/>
                <w:color w:val="000000"/>
                <w:kern w:val="0"/>
                <w:sz w:val="20"/>
                <w:szCs w:val="20"/>
                <w:lang w:val="pt-BR" w:eastAsia="pt-BR" w:bidi="ar-SA"/>
              </w:rPr>
              <w:t>12,50</w:t>
            </w:r>
          </w:p>
        </w:tc>
        <w:tc>
          <w:tcPr>
            <w:tcW w:w="1256" w:type="dxa"/>
            <w:tcBorders>
              <w:top w:val="single" w:sz="4" w:space="0" w:color="000000"/>
              <w:left w:val="single" w:sz="4" w:space="0" w:color="000000"/>
              <w:bottom w:val="single" w:sz="4" w:space="0" w:color="000000"/>
              <w:right w:val="single" w:sz="4" w:space="0" w:color="000000"/>
            </w:tcBorders>
          </w:tcPr>
          <w:p>
            <w:pPr>
              <w:pStyle w:val="Contedodatabela"/>
              <w:widowControl w:val="false"/>
              <w:jc w:val="center"/>
              <w:rPr>
                <w:rFonts w:ascii="Arial" w:hAnsi="Arial" w:eastAsia="Times New Roman" w:cs="Arial"/>
                <w:color w:val="000000"/>
                <w:kern w:val="0"/>
                <w:sz w:val="20"/>
                <w:szCs w:val="20"/>
                <w:highlight w:val="none"/>
                <w:shd w:fill="auto" w:val="clear"/>
                <w:lang w:val="pt-BR" w:eastAsia="pt-BR" w:bidi="ar-SA"/>
              </w:rPr>
            </w:pPr>
            <w:r>
              <w:rPr>
                <w:rFonts w:eastAsia="Times New Roman" w:cs="Arial" w:ascii="Arial" w:hAnsi="Arial"/>
                <w:color w:val="000000"/>
                <w:kern w:val="0"/>
                <w:sz w:val="20"/>
                <w:szCs w:val="20"/>
                <w:shd w:fill="auto" w:val="clear"/>
                <w:lang w:val="pt-BR" w:eastAsia="pt-BR" w:bidi="ar-SA"/>
              </w:rPr>
              <w:t>300,00</w:t>
            </w:r>
          </w:p>
        </w:tc>
      </w:tr>
      <w:tr>
        <w:trPr/>
        <w:tc>
          <w:tcPr>
            <w:tcW w:w="1550" w:type="dxa"/>
            <w:vMerge w:val="continue"/>
            <w:tcBorders>
              <w:top w:val="single" w:sz="4" w:space="0" w:color="000000"/>
              <w:left w:val="single" w:sz="4" w:space="0" w:color="000000"/>
              <w:bottom w:val="single" w:sz="4" w:space="0" w:color="000000"/>
            </w:tcBorders>
          </w:tcPr>
          <w:p>
            <w:pPr>
              <w:pStyle w:val="Normal"/>
              <w:widowControl w:val="false"/>
              <w:suppressAutoHyphens w:val="true"/>
              <w:spacing w:lineRule="auto" w:line="276" w:before="0" w:after="120"/>
              <w:jc w:val="center"/>
              <w:rPr>
                <w:rFonts w:ascii="Arial" w:hAnsi="Arial" w:cs="Arial"/>
                <w:color w:val="000000"/>
                <w:sz w:val="20"/>
                <w:szCs w:val="20"/>
              </w:rPr>
            </w:pPr>
            <w:r>
              <w:rPr>
                <w:rFonts w:cs="Arial"/>
                <w:color w:val="000000"/>
                <w:sz w:val="20"/>
                <w:szCs w:val="20"/>
              </w:rPr>
            </w:r>
          </w:p>
        </w:tc>
        <w:tc>
          <w:tcPr>
            <w:tcW w:w="715"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ascii="Arial" w:hAnsi="Arial" w:cs="Arial"/>
                <w:color w:val="000000"/>
                <w:sz w:val="20"/>
                <w:szCs w:val="20"/>
              </w:rPr>
            </w:pPr>
            <w:r>
              <w:rPr>
                <w:rFonts w:cs="Arial"/>
                <w:color w:val="000000"/>
                <w:sz w:val="20"/>
                <w:szCs w:val="20"/>
              </w:rPr>
              <w:t>5</w:t>
            </w:r>
          </w:p>
        </w:tc>
        <w:tc>
          <w:tcPr>
            <w:tcW w:w="2984" w:type="dxa"/>
            <w:tcBorders>
              <w:left w:val="single" w:sz="4" w:space="0" w:color="000000"/>
              <w:bottom w:val="single" w:sz="4" w:space="0" w:color="000000"/>
              <w:right w:val="single" w:sz="4" w:space="0" w:color="000000"/>
            </w:tcBorders>
          </w:tcPr>
          <w:p>
            <w:pPr>
              <w:pStyle w:val="Contedodatabela"/>
              <w:widowControl w:val="false"/>
              <w:bidi w:val="0"/>
              <w:jc w:val="both"/>
              <w:rPr>
                <w:rFonts w:ascii="Arial" w:hAnsi="Arial"/>
                <w:color w:val="000000"/>
                <w:sz w:val="20"/>
                <w:szCs w:val="20"/>
              </w:rPr>
            </w:pPr>
            <w:r>
              <w:rPr>
                <w:rFonts w:eastAsia="SimSun;宋体" w:cs="Open Sans;sans-serif" w:ascii="Arial" w:hAnsi="Arial"/>
                <w:b w:val="false"/>
                <w:i w:val="false"/>
                <w:caps/>
                <w:color w:val="000000"/>
                <w:spacing w:val="0"/>
                <w:kern w:val="2"/>
                <w:sz w:val="20"/>
                <w:szCs w:val="20"/>
                <w:lang w:val="pt-BR" w:eastAsia="zh-CN" w:bidi="hi-IN"/>
              </w:rPr>
              <w:t>COMUNICAÇÃO POR CORREIO – CARTA REGISTRADA ACIMA DE 150 A 200 GRAMAS.</w:t>
            </w:r>
          </w:p>
        </w:tc>
        <w:tc>
          <w:tcPr>
            <w:tcW w:w="1132"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ascii="Arial" w:hAnsi="Arial" w:eastAsia="Times New Roman" w:cs="Arial"/>
                <w:color w:val="000000"/>
                <w:kern w:val="0"/>
                <w:sz w:val="20"/>
                <w:szCs w:val="20"/>
                <w:lang w:val="pt-BR" w:eastAsia="pt-BR" w:bidi="ar-SA"/>
              </w:rPr>
            </w:pPr>
            <w:r>
              <w:rPr>
                <w:rFonts w:eastAsia="Times New Roman" w:cs="Arial"/>
                <w:color w:val="000000"/>
                <w:kern w:val="0"/>
                <w:sz w:val="20"/>
                <w:szCs w:val="20"/>
                <w:lang w:val="pt-BR" w:eastAsia="pt-BR" w:bidi="ar-SA"/>
              </w:rPr>
              <w:t>Unidade</w:t>
            </w:r>
          </w:p>
        </w:tc>
        <w:tc>
          <w:tcPr>
            <w:tcW w:w="1133" w:type="dxa"/>
            <w:tcBorders>
              <w:left w:val="single" w:sz="4" w:space="0" w:color="000000"/>
              <w:bottom w:val="single" w:sz="4" w:space="0" w:color="000000"/>
              <w:right w:val="single" w:sz="4" w:space="0" w:color="000000"/>
            </w:tcBorders>
          </w:tcPr>
          <w:p>
            <w:pPr>
              <w:pStyle w:val="Contedodatabela"/>
              <w:widowControl w:val="false"/>
              <w:jc w:val="center"/>
              <w:rPr>
                <w:rFonts w:ascii="Arial" w:hAnsi="Arial" w:eastAsia="Times New Roman" w:cs="Arial"/>
                <w:b w:val="false"/>
                <w:b w:val="false"/>
                <w:bCs/>
                <w:i w:val="false"/>
                <w:i w:val="false"/>
                <w:caps/>
                <w:color w:val="000000"/>
                <w:spacing w:val="0"/>
                <w:kern w:val="0"/>
                <w:sz w:val="20"/>
                <w:szCs w:val="20"/>
                <w:highlight w:val="none"/>
                <w:shd w:fill="auto" w:val="clear"/>
                <w:lang w:val="pt-BR" w:eastAsia="pt-BR" w:bidi="ar-SA"/>
              </w:rPr>
            </w:pPr>
            <w:r>
              <w:rPr>
                <w:rFonts w:eastAsia="Times New Roman" w:cs="Arial" w:ascii="Arial" w:hAnsi="Arial"/>
                <w:b w:val="false"/>
                <w:bCs/>
                <w:i w:val="false"/>
                <w:caps/>
                <w:color w:val="000000"/>
                <w:spacing w:val="0"/>
                <w:kern w:val="0"/>
                <w:sz w:val="20"/>
                <w:szCs w:val="20"/>
                <w:shd w:fill="auto" w:val="clear"/>
                <w:lang w:val="pt-BR" w:eastAsia="pt-BR" w:bidi="ar-SA"/>
              </w:rPr>
              <w:t>24</w:t>
            </w:r>
          </w:p>
        </w:tc>
        <w:tc>
          <w:tcPr>
            <w:tcW w:w="1305" w:type="dxa"/>
            <w:tcBorders>
              <w:left w:val="single" w:sz="4" w:space="0" w:color="000000"/>
              <w:bottom w:val="single" w:sz="4" w:space="0" w:color="000000"/>
            </w:tcBorders>
          </w:tcPr>
          <w:p>
            <w:pPr>
              <w:pStyle w:val="Normal"/>
              <w:widowControl w:val="false"/>
              <w:suppressAutoHyphens w:val="true"/>
              <w:spacing w:lineRule="auto" w:line="276" w:before="0" w:after="120"/>
              <w:rPr>
                <w:rFonts w:ascii="Arial" w:hAnsi="Arial" w:eastAsia="Times New Roman" w:cs="Arial"/>
                <w:color w:val="000000"/>
                <w:kern w:val="0"/>
                <w:sz w:val="20"/>
                <w:szCs w:val="20"/>
                <w:lang w:val="pt-BR" w:eastAsia="pt-BR" w:bidi="ar-SA"/>
              </w:rPr>
            </w:pPr>
            <w:r>
              <w:rPr>
                <w:rFonts w:eastAsia="Times New Roman" w:cs="Arial"/>
                <w:color w:val="000000"/>
                <w:kern w:val="0"/>
                <w:sz w:val="20"/>
                <w:szCs w:val="20"/>
                <w:lang w:val="pt-BR" w:eastAsia="pt-BR" w:bidi="ar-SA"/>
              </w:rPr>
              <w:t>13,50</w:t>
            </w:r>
          </w:p>
        </w:tc>
        <w:tc>
          <w:tcPr>
            <w:tcW w:w="1256" w:type="dxa"/>
            <w:tcBorders>
              <w:left w:val="single" w:sz="4" w:space="0" w:color="000000"/>
              <w:bottom w:val="single" w:sz="4" w:space="0" w:color="000000"/>
              <w:right w:val="single" w:sz="4" w:space="0" w:color="000000"/>
            </w:tcBorders>
          </w:tcPr>
          <w:p>
            <w:pPr>
              <w:pStyle w:val="Contedodatabela"/>
              <w:widowControl w:val="false"/>
              <w:jc w:val="center"/>
              <w:rPr>
                <w:rFonts w:ascii="Arial" w:hAnsi="Arial" w:eastAsia="Times New Roman" w:cs="Arial"/>
                <w:color w:val="000000"/>
                <w:kern w:val="0"/>
                <w:sz w:val="20"/>
                <w:szCs w:val="20"/>
                <w:highlight w:val="none"/>
                <w:shd w:fill="auto" w:val="clear"/>
                <w:lang w:val="pt-BR" w:eastAsia="pt-BR" w:bidi="ar-SA"/>
              </w:rPr>
            </w:pPr>
            <w:r>
              <w:rPr>
                <w:rFonts w:eastAsia="Times New Roman" w:cs="Arial" w:ascii="Arial" w:hAnsi="Arial"/>
                <w:color w:val="000000"/>
                <w:kern w:val="0"/>
                <w:sz w:val="20"/>
                <w:szCs w:val="20"/>
                <w:shd w:fill="auto" w:val="clear"/>
                <w:lang w:val="pt-BR" w:eastAsia="pt-BR" w:bidi="ar-SA"/>
              </w:rPr>
              <w:t>324,00</w:t>
            </w:r>
          </w:p>
        </w:tc>
      </w:tr>
      <w:tr>
        <w:trPr/>
        <w:tc>
          <w:tcPr>
            <w:tcW w:w="1550" w:type="dxa"/>
            <w:vMerge w:val="continue"/>
            <w:tcBorders>
              <w:top w:val="single" w:sz="4" w:space="0" w:color="000000"/>
              <w:left w:val="single" w:sz="4" w:space="0" w:color="000000"/>
              <w:bottom w:val="single" w:sz="4" w:space="0" w:color="000000"/>
            </w:tcBorders>
          </w:tcPr>
          <w:p>
            <w:pPr>
              <w:pStyle w:val="Normal"/>
              <w:widowControl w:val="false"/>
              <w:suppressAutoHyphens w:val="true"/>
              <w:spacing w:lineRule="auto" w:line="276" w:before="0" w:after="120"/>
              <w:jc w:val="center"/>
              <w:rPr>
                <w:rFonts w:ascii="Arial" w:hAnsi="Arial" w:cs="Arial"/>
                <w:color w:val="000000"/>
                <w:sz w:val="20"/>
                <w:szCs w:val="20"/>
              </w:rPr>
            </w:pPr>
            <w:r>
              <w:rPr>
                <w:rFonts w:cs="Arial"/>
                <w:color w:val="000000"/>
                <w:sz w:val="20"/>
                <w:szCs w:val="20"/>
              </w:rPr>
            </w:r>
          </w:p>
        </w:tc>
        <w:tc>
          <w:tcPr>
            <w:tcW w:w="715"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ascii="Arial" w:hAnsi="Arial" w:cs="Arial"/>
                <w:color w:val="000000"/>
                <w:sz w:val="20"/>
                <w:szCs w:val="20"/>
              </w:rPr>
            </w:pPr>
            <w:r>
              <w:rPr>
                <w:rFonts w:cs="Arial"/>
                <w:color w:val="000000"/>
                <w:sz w:val="20"/>
                <w:szCs w:val="20"/>
              </w:rPr>
              <w:t>6</w:t>
            </w:r>
          </w:p>
        </w:tc>
        <w:tc>
          <w:tcPr>
            <w:tcW w:w="2984" w:type="dxa"/>
            <w:tcBorders>
              <w:left w:val="single" w:sz="4" w:space="0" w:color="000000"/>
              <w:bottom w:val="single" w:sz="4" w:space="0" w:color="000000"/>
              <w:right w:val="single" w:sz="4" w:space="0" w:color="000000"/>
            </w:tcBorders>
          </w:tcPr>
          <w:p>
            <w:pPr>
              <w:pStyle w:val="Contedodatabela"/>
              <w:widowControl w:val="false"/>
              <w:jc w:val="both"/>
              <w:rPr>
                <w:rFonts w:ascii="Arial" w:hAnsi="Arial"/>
                <w:color w:val="000000"/>
                <w:sz w:val="20"/>
                <w:szCs w:val="20"/>
              </w:rPr>
            </w:pPr>
            <w:r>
              <w:rPr>
                <w:rFonts w:eastAsia="SimSun;宋体" w:cs="Open Sans;sans-serif" w:ascii="Arial" w:hAnsi="Arial"/>
                <w:b w:val="false"/>
                <w:bCs/>
                <w:i w:val="false"/>
                <w:caps/>
                <w:color w:val="000000"/>
                <w:spacing w:val="0"/>
                <w:kern w:val="2"/>
                <w:sz w:val="20"/>
                <w:szCs w:val="20"/>
                <w:lang w:val="pt-BR" w:eastAsia="zh-CN" w:bidi="hi-IN"/>
              </w:rPr>
              <w:t>COMUNICAÇÃO POR CORREIO – CARTA REGISTRADA  ACIMA DE 200 A 250 GRAMAS.</w:t>
            </w:r>
          </w:p>
        </w:tc>
        <w:tc>
          <w:tcPr>
            <w:tcW w:w="1132"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ascii="Arial" w:hAnsi="Arial" w:eastAsia="Times New Roman" w:cs="Arial"/>
                <w:color w:val="000000"/>
                <w:kern w:val="0"/>
                <w:sz w:val="20"/>
                <w:szCs w:val="20"/>
                <w:lang w:val="pt-BR" w:eastAsia="pt-BR" w:bidi="ar-SA"/>
              </w:rPr>
            </w:pPr>
            <w:r>
              <w:rPr>
                <w:rFonts w:eastAsia="Times New Roman" w:cs="Arial"/>
                <w:color w:val="000000"/>
                <w:kern w:val="0"/>
                <w:sz w:val="20"/>
                <w:szCs w:val="20"/>
                <w:lang w:val="pt-BR" w:eastAsia="pt-BR" w:bidi="ar-SA"/>
              </w:rPr>
              <w:t>Unidade</w:t>
            </w:r>
          </w:p>
        </w:tc>
        <w:tc>
          <w:tcPr>
            <w:tcW w:w="1133" w:type="dxa"/>
            <w:tcBorders>
              <w:left w:val="single" w:sz="4" w:space="0" w:color="000000"/>
              <w:bottom w:val="single" w:sz="4" w:space="0" w:color="000000"/>
              <w:right w:val="single" w:sz="4" w:space="0" w:color="000000"/>
            </w:tcBorders>
          </w:tcPr>
          <w:p>
            <w:pPr>
              <w:pStyle w:val="Contedodatabela"/>
              <w:widowControl w:val="false"/>
              <w:jc w:val="center"/>
              <w:rPr>
                <w:rFonts w:ascii="Arial" w:hAnsi="Arial" w:eastAsia="Times New Roman" w:cs="Arial"/>
                <w:b w:val="false"/>
                <w:b w:val="false"/>
                <w:bCs/>
                <w:i w:val="false"/>
                <w:i w:val="false"/>
                <w:caps/>
                <w:color w:val="000000"/>
                <w:spacing w:val="0"/>
                <w:kern w:val="0"/>
                <w:sz w:val="20"/>
                <w:szCs w:val="20"/>
                <w:highlight w:val="none"/>
                <w:shd w:fill="auto" w:val="clear"/>
                <w:lang w:val="pt-BR" w:eastAsia="pt-BR" w:bidi="ar-SA"/>
              </w:rPr>
            </w:pPr>
            <w:r>
              <w:rPr>
                <w:rFonts w:eastAsia="Times New Roman" w:cs="Arial" w:ascii="Arial" w:hAnsi="Arial"/>
                <w:b w:val="false"/>
                <w:bCs/>
                <w:i w:val="false"/>
                <w:caps/>
                <w:color w:val="000000"/>
                <w:spacing w:val="0"/>
                <w:kern w:val="0"/>
                <w:sz w:val="20"/>
                <w:szCs w:val="20"/>
                <w:shd w:fill="auto" w:val="clear"/>
                <w:lang w:val="pt-BR" w:eastAsia="pt-BR" w:bidi="ar-SA"/>
              </w:rPr>
              <w:t>24</w:t>
            </w:r>
          </w:p>
        </w:tc>
        <w:tc>
          <w:tcPr>
            <w:tcW w:w="1305" w:type="dxa"/>
            <w:tcBorders>
              <w:left w:val="single" w:sz="4" w:space="0" w:color="000000"/>
              <w:bottom w:val="single" w:sz="4" w:space="0" w:color="000000"/>
            </w:tcBorders>
          </w:tcPr>
          <w:p>
            <w:pPr>
              <w:pStyle w:val="Normal"/>
              <w:widowControl w:val="false"/>
              <w:suppressAutoHyphens w:val="true"/>
              <w:spacing w:lineRule="auto" w:line="276" w:before="0" w:after="120"/>
              <w:rPr>
                <w:rFonts w:ascii="Arial" w:hAnsi="Arial" w:eastAsia="Times New Roman" w:cs="Arial"/>
                <w:color w:val="000000"/>
                <w:kern w:val="0"/>
                <w:sz w:val="20"/>
                <w:szCs w:val="20"/>
                <w:lang w:val="pt-BR" w:eastAsia="pt-BR" w:bidi="ar-SA"/>
              </w:rPr>
            </w:pPr>
            <w:r>
              <w:rPr>
                <w:rFonts w:eastAsia="Times New Roman" w:cs="Arial"/>
                <w:color w:val="000000"/>
                <w:kern w:val="0"/>
                <w:sz w:val="20"/>
                <w:szCs w:val="20"/>
                <w:lang w:val="pt-BR" w:eastAsia="pt-BR" w:bidi="ar-SA"/>
              </w:rPr>
              <w:t>14,50</w:t>
            </w:r>
          </w:p>
        </w:tc>
        <w:tc>
          <w:tcPr>
            <w:tcW w:w="1256" w:type="dxa"/>
            <w:tcBorders>
              <w:left w:val="single" w:sz="4" w:space="0" w:color="000000"/>
              <w:bottom w:val="single" w:sz="4" w:space="0" w:color="000000"/>
              <w:right w:val="single" w:sz="4" w:space="0" w:color="000000"/>
            </w:tcBorders>
          </w:tcPr>
          <w:p>
            <w:pPr>
              <w:pStyle w:val="Contedodatabela"/>
              <w:widowControl w:val="false"/>
              <w:jc w:val="center"/>
              <w:rPr>
                <w:rFonts w:ascii="Arial" w:hAnsi="Arial" w:eastAsia="Times New Roman" w:cs="Arial"/>
                <w:color w:val="000000"/>
                <w:kern w:val="0"/>
                <w:sz w:val="20"/>
                <w:szCs w:val="20"/>
                <w:highlight w:val="none"/>
                <w:shd w:fill="auto" w:val="clear"/>
                <w:lang w:val="pt-BR" w:eastAsia="pt-BR" w:bidi="ar-SA"/>
              </w:rPr>
            </w:pPr>
            <w:r>
              <w:rPr>
                <w:rFonts w:eastAsia="Times New Roman" w:cs="Arial" w:ascii="Arial" w:hAnsi="Arial"/>
                <w:color w:val="000000"/>
                <w:kern w:val="0"/>
                <w:sz w:val="20"/>
                <w:szCs w:val="20"/>
                <w:shd w:fill="auto" w:val="clear"/>
                <w:lang w:val="pt-BR" w:eastAsia="pt-BR" w:bidi="ar-SA"/>
              </w:rPr>
              <w:t>348,00</w:t>
            </w:r>
          </w:p>
        </w:tc>
      </w:tr>
      <w:tr>
        <w:trPr/>
        <w:tc>
          <w:tcPr>
            <w:tcW w:w="1550" w:type="dxa"/>
            <w:vMerge w:val="continue"/>
            <w:tcBorders>
              <w:top w:val="single" w:sz="4" w:space="0" w:color="000000"/>
              <w:left w:val="single" w:sz="4" w:space="0" w:color="000000"/>
              <w:bottom w:val="single" w:sz="4" w:space="0" w:color="000000"/>
            </w:tcBorders>
          </w:tcPr>
          <w:p>
            <w:pPr>
              <w:pStyle w:val="Normal"/>
              <w:widowControl w:val="false"/>
              <w:suppressAutoHyphens w:val="true"/>
              <w:spacing w:lineRule="auto" w:line="276" w:before="0" w:after="120"/>
              <w:jc w:val="center"/>
              <w:rPr>
                <w:rFonts w:ascii="Arial" w:hAnsi="Arial" w:cs="Arial"/>
                <w:color w:val="000000"/>
                <w:sz w:val="20"/>
                <w:szCs w:val="20"/>
              </w:rPr>
            </w:pPr>
            <w:r>
              <w:rPr>
                <w:rFonts w:cs="Arial"/>
                <w:color w:val="000000"/>
                <w:sz w:val="20"/>
                <w:szCs w:val="20"/>
              </w:rPr>
            </w:r>
          </w:p>
        </w:tc>
        <w:tc>
          <w:tcPr>
            <w:tcW w:w="715"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ascii="Arial" w:hAnsi="Arial" w:cs="Arial"/>
                <w:color w:val="000000"/>
                <w:sz w:val="20"/>
                <w:szCs w:val="20"/>
              </w:rPr>
            </w:pPr>
            <w:r>
              <w:rPr>
                <w:rFonts w:cs="Arial"/>
                <w:color w:val="000000"/>
                <w:sz w:val="20"/>
                <w:szCs w:val="20"/>
              </w:rPr>
              <w:t>7</w:t>
            </w:r>
          </w:p>
        </w:tc>
        <w:tc>
          <w:tcPr>
            <w:tcW w:w="2984" w:type="dxa"/>
            <w:tcBorders>
              <w:left w:val="single" w:sz="4" w:space="0" w:color="000000"/>
              <w:bottom w:val="single" w:sz="4" w:space="0" w:color="000000"/>
              <w:right w:val="single" w:sz="4" w:space="0" w:color="000000"/>
            </w:tcBorders>
          </w:tcPr>
          <w:p>
            <w:pPr>
              <w:pStyle w:val="Contedodatabela"/>
              <w:widowControl w:val="false"/>
              <w:jc w:val="both"/>
              <w:rPr>
                <w:rFonts w:ascii="Arial" w:hAnsi="Arial"/>
                <w:color w:val="000000"/>
                <w:sz w:val="20"/>
                <w:szCs w:val="20"/>
              </w:rPr>
            </w:pPr>
            <w:r>
              <w:rPr>
                <w:rFonts w:eastAsia="SimSun;宋体" w:cs="Open Sans;sans-serif" w:ascii="Arial" w:hAnsi="Arial"/>
                <w:b w:val="false"/>
                <w:bCs/>
                <w:i w:val="false"/>
                <w:caps/>
                <w:color w:val="000000"/>
                <w:spacing w:val="0"/>
                <w:kern w:val="2"/>
                <w:sz w:val="20"/>
                <w:szCs w:val="20"/>
                <w:lang w:val="pt-BR" w:eastAsia="zh-CN" w:bidi="hi-IN"/>
              </w:rPr>
              <w:t>COMUNICAÇÃO POR CORREIO – CARTA REGISTRADA ACIMA DE 250 A 300 GRAMAS.</w:t>
            </w:r>
          </w:p>
        </w:tc>
        <w:tc>
          <w:tcPr>
            <w:tcW w:w="1132"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ascii="Arial" w:hAnsi="Arial" w:eastAsia="Times New Roman" w:cs="Arial"/>
                <w:color w:val="000000"/>
                <w:kern w:val="0"/>
                <w:sz w:val="20"/>
                <w:szCs w:val="20"/>
                <w:lang w:val="pt-BR" w:eastAsia="pt-BR" w:bidi="ar-SA"/>
              </w:rPr>
            </w:pPr>
            <w:r>
              <w:rPr>
                <w:rFonts w:eastAsia="Times New Roman" w:cs="Arial"/>
                <w:color w:val="000000"/>
                <w:kern w:val="0"/>
                <w:sz w:val="20"/>
                <w:szCs w:val="20"/>
                <w:lang w:val="pt-BR" w:eastAsia="pt-BR" w:bidi="ar-SA"/>
              </w:rPr>
              <w:t>Unidade</w:t>
            </w:r>
          </w:p>
        </w:tc>
        <w:tc>
          <w:tcPr>
            <w:tcW w:w="1133" w:type="dxa"/>
            <w:tcBorders>
              <w:left w:val="single" w:sz="4" w:space="0" w:color="000000"/>
              <w:bottom w:val="single" w:sz="4" w:space="0" w:color="000000"/>
              <w:right w:val="single" w:sz="4" w:space="0" w:color="000000"/>
            </w:tcBorders>
          </w:tcPr>
          <w:p>
            <w:pPr>
              <w:pStyle w:val="Contedodatabela"/>
              <w:widowControl w:val="false"/>
              <w:jc w:val="center"/>
              <w:rPr>
                <w:rFonts w:ascii="Arial" w:hAnsi="Arial" w:eastAsia="Times New Roman" w:cs="Arial"/>
                <w:b w:val="false"/>
                <w:b w:val="false"/>
                <w:bCs/>
                <w:i w:val="false"/>
                <w:i w:val="false"/>
                <w:caps/>
                <w:color w:val="000000"/>
                <w:spacing w:val="0"/>
                <w:kern w:val="0"/>
                <w:sz w:val="20"/>
                <w:szCs w:val="20"/>
                <w:highlight w:val="none"/>
                <w:shd w:fill="auto" w:val="clear"/>
                <w:lang w:val="pt-BR" w:eastAsia="pt-BR" w:bidi="ar-SA"/>
              </w:rPr>
            </w:pPr>
            <w:r>
              <w:rPr>
                <w:rFonts w:eastAsia="Times New Roman" w:cs="Arial" w:ascii="Arial" w:hAnsi="Arial"/>
                <w:b w:val="false"/>
                <w:bCs/>
                <w:i w:val="false"/>
                <w:caps/>
                <w:color w:val="000000"/>
                <w:spacing w:val="0"/>
                <w:kern w:val="0"/>
                <w:sz w:val="20"/>
                <w:szCs w:val="20"/>
                <w:shd w:fill="auto" w:val="clear"/>
                <w:lang w:val="pt-BR" w:eastAsia="pt-BR" w:bidi="ar-SA"/>
              </w:rPr>
              <w:t>24</w:t>
            </w:r>
          </w:p>
        </w:tc>
        <w:tc>
          <w:tcPr>
            <w:tcW w:w="1305" w:type="dxa"/>
            <w:tcBorders>
              <w:left w:val="single" w:sz="4" w:space="0" w:color="000000"/>
              <w:bottom w:val="single" w:sz="4" w:space="0" w:color="000000"/>
            </w:tcBorders>
          </w:tcPr>
          <w:p>
            <w:pPr>
              <w:pStyle w:val="Normal"/>
              <w:widowControl w:val="false"/>
              <w:suppressAutoHyphens w:val="true"/>
              <w:spacing w:lineRule="auto" w:line="276" w:before="0" w:after="120"/>
              <w:rPr>
                <w:rFonts w:ascii="Arial" w:hAnsi="Arial" w:eastAsia="Times New Roman" w:cs="Arial"/>
                <w:color w:val="000000"/>
                <w:kern w:val="0"/>
                <w:sz w:val="20"/>
                <w:szCs w:val="20"/>
                <w:lang w:val="pt-BR" w:eastAsia="pt-BR" w:bidi="ar-SA"/>
              </w:rPr>
            </w:pPr>
            <w:r>
              <w:rPr>
                <w:rFonts w:eastAsia="Times New Roman" w:cs="Arial"/>
                <w:color w:val="000000"/>
                <w:kern w:val="0"/>
                <w:sz w:val="20"/>
                <w:szCs w:val="20"/>
                <w:lang w:val="pt-BR" w:eastAsia="pt-BR" w:bidi="ar-SA"/>
              </w:rPr>
              <w:t>15,55</w:t>
            </w:r>
          </w:p>
        </w:tc>
        <w:tc>
          <w:tcPr>
            <w:tcW w:w="1256" w:type="dxa"/>
            <w:tcBorders>
              <w:left w:val="single" w:sz="4" w:space="0" w:color="000000"/>
              <w:bottom w:val="single" w:sz="4" w:space="0" w:color="000000"/>
              <w:right w:val="single" w:sz="4" w:space="0" w:color="000000"/>
            </w:tcBorders>
          </w:tcPr>
          <w:p>
            <w:pPr>
              <w:pStyle w:val="Contedodatabela"/>
              <w:widowControl w:val="false"/>
              <w:jc w:val="center"/>
              <w:rPr>
                <w:rFonts w:ascii="Arial" w:hAnsi="Arial" w:eastAsia="Times New Roman" w:cs="Arial"/>
                <w:color w:val="000000"/>
                <w:kern w:val="0"/>
                <w:sz w:val="20"/>
                <w:szCs w:val="20"/>
                <w:highlight w:val="none"/>
                <w:shd w:fill="auto" w:val="clear"/>
                <w:lang w:val="pt-BR" w:eastAsia="pt-BR" w:bidi="ar-SA"/>
              </w:rPr>
            </w:pPr>
            <w:r>
              <w:rPr>
                <w:rFonts w:eastAsia="Times New Roman" w:cs="Arial" w:ascii="Arial" w:hAnsi="Arial"/>
                <w:color w:val="000000"/>
                <w:kern w:val="0"/>
                <w:sz w:val="20"/>
                <w:szCs w:val="20"/>
                <w:shd w:fill="auto" w:val="clear"/>
                <w:lang w:val="pt-BR" w:eastAsia="pt-BR" w:bidi="ar-SA"/>
              </w:rPr>
              <w:t>373,2</w:t>
            </w:r>
          </w:p>
        </w:tc>
      </w:tr>
      <w:tr>
        <w:trPr/>
        <w:tc>
          <w:tcPr>
            <w:tcW w:w="1550" w:type="dxa"/>
            <w:vMerge w:val="continue"/>
            <w:tcBorders>
              <w:top w:val="single" w:sz="4" w:space="0" w:color="000000"/>
              <w:left w:val="single" w:sz="4" w:space="0" w:color="000000"/>
              <w:bottom w:val="single" w:sz="4" w:space="0" w:color="000000"/>
            </w:tcBorders>
          </w:tcPr>
          <w:p>
            <w:pPr>
              <w:pStyle w:val="Normal"/>
              <w:widowControl w:val="false"/>
              <w:suppressAutoHyphens w:val="true"/>
              <w:spacing w:lineRule="auto" w:line="276" w:before="0" w:after="120"/>
              <w:jc w:val="center"/>
              <w:rPr>
                <w:rFonts w:ascii="Arial" w:hAnsi="Arial" w:cs="Arial"/>
                <w:color w:val="000000"/>
                <w:sz w:val="20"/>
                <w:szCs w:val="20"/>
              </w:rPr>
            </w:pPr>
            <w:r>
              <w:rPr>
                <w:rFonts w:cs="Arial"/>
                <w:color w:val="000000"/>
                <w:sz w:val="20"/>
                <w:szCs w:val="20"/>
              </w:rPr>
            </w:r>
          </w:p>
        </w:tc>
        <w:tc>
          <w:tcPr>
            <w:tcW w:w="715"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ascii="Arial" w:hAnsi="Arial" w:cs="Arial"/>
                <w:color w:val="000000"/>
                <w:sz w:val="20"/>
                <w:szCs w:val="20"/>
              </w:rPr>
            </w:pPr>
            <w:r>
              <w:rPr>
                <w:rFonts w:cs="Arial"/>
                <w:color w:val="000000"/>
                <w:sz w:val="20"/>
                <w:szCs w:val="20"/>
              </w:rPr>
              <w:t>8</w:t>
            </w:r>
          </w:p>
        </w:tc>
        <w:tc>
          <w:tcPr>
            <w:tcW w:w="2984" w:type="dxa"/>
            <w:tcBorders>
              <w:left w:val="single" w:sz="4" w:space="0" w:color="000000"/>
              <w:bottom w:val="single" w:sz="4" w:space="0" w:color="000000"/>
              <w:right w:val="single" w:sz="4" w:space="0" w:color="000000"/>
            </w:tcBorders>
          </w:tcPr>
          <w:p>
            <w:pPr>
              <w:pStyle w:val="Contedodatabela"/>
              <w:widowControl w:val="false"/>
              <w:jc w:val="both"/>
              <w:rPr>
                <w:rFonts w:ascii="Arial" w:hAnsi="Arial"/>
                <w:color w:val="000000"/>
                <w:sz w:val="20"/>
                <w:szCs w:val="20"/>
              </w:rPr>
            </w:pPr>
            <w:r>
              <w:rPr>
                <w:rFonts w:eastAsia="SimSun;宋体" w:cs="Open Sans;sans-serif" w:ascii="Arial" w:hAnsi="Arial"/>
                <w:b w:val="false"/>
                <w:bCs/>
                <w:i w:val="false"/>
                <w:caps/>
                <w:color w:val="000000"/>
                <w:spacing w:val="0"/>
                <w:kern w:val="2"/>
                <w:sz w:val="20"/>
                <w:szCs w:val="20"/>
                <w:lang w:val="pt-BR" w:eastAsia="zh-CN" w:bidi="hi-IN"/>
              </w:rPr>
              <w:t>COMUNICAÇÃO POR CORREIO – CARTA REGISTRADA ACIMA DE 300 A 350 GRAMAS.</w:t>
            </w:r>
          </w:p>
        </w:tc>
        <w:tc>
          <w:tcPr>
            <w:tcW w:w="1132"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ascii="Arial" w:hAnsi="Arial" w:eastAsia="Times New Roman" w:cs="Arial"/>
                <w:color w:val="000000"/>
                <w:kern w:val="0"/>
                <w:sz w:val="20"/>
                <w:szCs w:val="20"/>
                <w:lang w:val="pt-BR" w:eastAsia="pt-BR" w:bidi="ar-SA"/>
              </w:rPr>
            </w:pPr>
            <w:r>
              <w:rPr>
                <w:rFonts w:eastAsia="Times New Roman" w:cs="Arial"/>
                <w:color w:val="000000"/>
                <w:kern w:val="0"/>
                <w:sz w:val="20"/>
                <w:szCs w:val="20"/>
                <w:lang w:val="pt-BR" w:eastAsia="pt-BR" w:bidi="ar-SA"/>
              </w:rPr>
              <w:t>Unidade</w:t>
            </w:r>
          </w:p>
        </w:tc>
        <w:tc>
          <w:tcPr>
            <w:tcW w:w="1133" w:type="dxa"/>
            <w:tcBorders>
              <w:left w:val="single" w:sz="4" w:space="0" w:color="000000"/>
              <w:bottom w:val="single" w:sz="4" w:space="0" w:color="000000"/>
              <w:right w:val="single" w:sz="4" w:space="0" w:color="000000"/>
            </w:tcBorders>
          </w:tcPr>
          <w:p>
            <w:pPr>
              <w:pStyle w:val="Contedodatabela"/>
              <w:widowControl w:val="false"/>
              <w:jc w:val="center"/>
              <w:rPr>
                <w:rFonts w:ascii="Arial" w:hAnsi="Arial" w:eastAsia="Times New Roman" w:cs="Arial"/>
                <w:b w:val="false"/>
                <w:b w:val="false"/>
                <w:bCs/>
                <w:i w:val="false"/>
                <w:i w:val="false"/>
                <w:caps/>
                <w:color w:val="000000"/>
                <w:spacing w:val="0"/>
                <w:kern w:val="0"/>
                <w:sz w:val="20"/>
                <w:szCs w:val="20"/>
                <w:lang w:val="pt-BR" w:eastAsia="pt-BR" w:bidi="ar-SA"/>
              </w:rPr>
            </w:pPr>
            <w:r>
              <w:rPr>
                <w:rFonts w:eastAsia="Times New Roman" w:cs="Arial" w:ascii="Arial" w:hAnsi="Arial"/>
                <w:b w:val="false"/>
                <w:bCs/>
                <w:i w:val="false"/>
                <w:caps/>
                <w:color w:val="000000"/>
                <w:spacing w:val="0"/>
                <w:kern w:val="0"/>
                <w:sz w:val="20"/>
                <w:szCs w:val="20"/>
                <w:lang w:val="pt-BR" w:eastAsia="pt-BR" w:bidi="ar-SA"/>
              </w:rPr>
              <w:t>24</w:t>
            </w:r>
          </w:p>
        </w:tc>
        <w:tc>
          <w:tcPr>
            <w:tcW w:w="1305" w:type="dxa"/>
            <w:tcBorders>
              <w:left w:val="single" w:sz="4" w:space="0" w:color="000000"/>
              <w:bottom w:val="single" w:sz="4" w:space="0" w:color="000000"/>
            </w:tcBorders>
          </w:tcPr>
          <w:p>
            <w:pPr>
              <w:pStyle w:val="Normal"/>
              <w:widowControl w:val="false"/>
              <w:suppressAutoHyphens w:val="true"/>
              <w:spacing w:lineRule="auto" w:line="276" w:before="0" w:after="120"/>
              <w:rPr>
                <w:rFonts w:ascii="Arial" w:hAnsi="Arial" w:eastAsia="Times New Roman" w:cs="Arial"/>
                <w:color w:val="000000"/>
                <w:kern w:val="0"/>
                <w:sz w:val="20"/>
                <w:szCs w:val="20"/>
                <w:lang w:val="pt-BR" w:eastAsia="pt-BR" w:bidi="ar-SA"/>
              </w:rPr>
            </w:pPr>
            <w:r>
              <w:rPr>
                <w:rFonts w:eastAsia="Times New Roman" w:cs="Arial"/>
                <w:color w:val="000000"/>
                <w:kern w:val="0"/>
                <w:sz w:val="20"/>
                <w:szCs w:val="20"/>
                <w:lang w:val="pt-BR" w:eastAsia="pt-BR" w:bidi="ar-SA"/>
              </w:rPr>
              <w:t>16,55</w:t>
            </w:r>
          </w:p>
        </w:tc>
        <w:tc>
          <w:tcPr>
            <w:tcW w:w="1256" w:type="dxa"/>
            <w:tcBorders>
              <w:left w:val="single" w:sz="4" w:space="0" w:color="000000"/>
              <w:bottom w:val="single" w:sz="4" w:space="0" w:color="000000"/>
              <w:right w:val="single" w:sz="4" w:space="0" w:color="000000"/>
            </w:tcBorders>
          </w:tcPr>
          <w:p>
            <w:pPr>
              <w:pStyle w:val="Contedodatabela"/>
              <w:widowControl w:val="false"/>
              <w:jc w:val="center"/>
              <w:rPr>
                <w:rFonts w:ascii="Arial" w:hAnsi="Arial" w:eastAsia="Times New Roman" w:cs="Arial"/>
                <w:color w:val="000000"/>
                <w:kern w:val="0"/>
                <w:sz w:val="20"/>
                <w:szCs w:val="20"/>
                <w:lang w:val="pt-BR" w:eastAsia="pt-BR" w:bidi="ar-SA"/>
              </w:rPr>
            </w:pPr>
            <w:r>
              <w:rPr>
                <w:rFonts w:eastAsia="Times New Roman" w:cs="Arial" w:ascii="Arial" w:hAnsi="Arial"/>
                <w:color w:val="000000"/>
                <w:kern w:val="0"/>
                <w:sz w:val="20"/>
                <w:szCs w:val="20"/>
                <w:lang w:val="pt-BR" w:eastAsia="pt-BR" w:bidi="ar-SA"/>
              </w:rPr>
              <w:t>397,20</w:t>
            </w:r>
          </w:p>
        </w:tc>
      </w:tr>
      <w:tr>
        <w:trPr/>
        <w:tc>
          <w:tcPr>
            <w:tcW w:w="1550" w:type="dxa"/>
            <w:vMerge w:val="continue"/>
            <w:tcBorders>
              <w:top w:val="single" w:sz="4" w:space="0" w:color="000000"/>
              <w:left w:val="single" w:sz="4" w:space="0" w:color="000000"/>
              <w:bottom w:val="single" w:sz="4" w:space="0" w:color="000000"/>
            </w:tcBorders>
          </w:tcPr>
          <w:p>
            <w:pPr>
              <w:pStyle w:val="Normal"/>
              <w:widowControl w:val="false"/>
              <w:suppressAutoHyphens w:val="true"/>
              <w:spacing w:lineRule="auto" w:line="276" w:before="0" w:after="120"/>
              <w:jc w:val="center"/>
              <w:rPr>
                <w:rFonts w:ascii="Arial" w:hAnsi="Arial" w:cs="Arial"/>
                <w:color w:val="000000"/>
                <w:sz w:val="20"/>
                <w:szCs w:val="20"/>
              </w:rPr>
            </w:pPr>
            <w:r>
              <w:rPr>
                <w:rFonts w:cs="Arial"/>
                <w:color w:val="000000"/>
                <w:sz w:val="20"/>
                <w:szCs w:val="20"/>
              </w:rPr>
            </w:r>
          </w:p>
        </w:tc>
        <w:tc>
          <w:tcPr>
            <w:tcW w:w="715"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ascii="Arial" w:hAnsi="Arial" w:cs="Arial"/>
                <w:color w:val="000000"/>
                <w:sz w:val="20"/>
                <w:szCs w:val="20"/>
              </w:rPr>
            </w:pPr>
            <w:r>
              <w:rPr>
                <w:rFonts w:cs="Arial"/>
                <w:color w:val="000000"/>
                <w:sz w:val="20"/>
                <w:szCs w:val="20"/>
              </w:rPr>
              <w:t>9</w:t>
            </w:r>
          </w:p>
        </w:tc>
        <w:tc>
          <w:tcPr>
            <w:tcW w:w="2984" w:type="dxa"/>
            <w:tcBorders>
              <w:left w:val="single" w:sz="4" w:space="0" w:color="000000"/>
              <w:bottom w:val="single" w:sz="4" w:space="0" w:color="000000"/>
              <w:right w:val="single" w:sz="4" w:space="0" w:color="000000"/>
            </w:tcBorders>
          </w:tcPr>
          <w:p>
            <w:pPr>
              <w:pStyle w:val="Contedodatabela"/>
              <w:widowControl w:val="false"/>
              <w:jc w:val="both"/>
              <w:rPr>
                <w:rFonts w:ascii="Arial" w:hAnsi="Arial"/>
                <w:color w:val="000000"/>
                <w:sz w:val="20"/>
                <w:szCs w:val="20"/>
              </w:rPr>
            </w:pPr>
            <w:r>
              <w:rPr>
                <w:rFonts w:eastAsia="SimSun;宋体" w:cs="Open Sans;sans-serif" w:ascii="Arial" w:hAnsi="Arial"/>
                <w:b w:val="false"/>
                <w:bCs/>
                <w:i w:val="false"/>
                <w:caps/>
                <w:color w:val="000000"/>
                <w:spacing w:val="0"/>
                <w:kern w:val="2"/>
                <w:sz w:val="20"/>
                <w:szCs w:val="20"/>
                <w:lang w:val="pt-BR" w:eastAsia="zh-CN" w:bidi="hi-IN"/>
              </w:rPr>
              <w:t>COMUNICAÇÃO POR CORREIO – CARTA REGISTRADA ACIMA DE 350 A 400 GRAMAS.</w:t>
            </w:r>
          </w:p>
        </w:tc>
        <w:tc>
          <w:tcPr>
            <w:tcW w:w="1132"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ascii="Arial" w:hAnsi="Arial" w:eastAsia="Times New Roman" w:cs="Arial"/>
                <w:color w:val="000000"/>
                <w:kern w:val="0"/>
                <w:sz w:val="20"/>
                <w:szCs w:val="20"/>
                <w:highlight w:val="none"/>
                <w:shd w:fill="auto" w:val="clear"/>
                <w:lang w:val="pt-BR" w:eastAsia="pt-BR" w:bidi="ar-SA"/>
              </w:rPr>
            </w:pPr>
            <w:r>
              <w:rPr>
                <w:rFonts w:eastAsia="Times New Roman" w:cs="Arial"/>
                <w:color w:val="000000"/>
                <w:kern w:val="0"/>
                <w:sz w:val="20"/>
                <w:szCs w:val="20"/>
                <w:shd w:fill="auto" w:val="clear"/>
                <w:lang w:val="pt-BR" w:eastAsia="pt-BR" w:bidi="ar-SA"/>
              </w:rPr>
              <w:t>Unidade</w:t>
            </w:r>
          </w:p>
        </w:tc>
        <w:tc>
          <w:tcPr>
            <w:tcW w:w="1133" w:type="dxa"/>
            <w:tcBorders>
              <w:left w:val="single" w:sz="4" w:space="0" w:color="000000"/>
              <w:bottom w:val="single" w:sz="4" w:space="0" w:color="000000"/>
              <w:right w:val="single" w:sz="4" w:space="0" w:color="000000"/>
            </w:tcBorders>
          </w:tcPr>
          <w:p>
            <w:pPr>
              <w:pStyle w:val="Contedodatabela"/>
              <w:widowControl w:val="false"/>
              <w:jc w:val="center"/>
              <w:rPr>
                <w:rFonts w:ascii="Arial" w:hAnsi="Arial" w:eastAsia="Times New Roman" w:cs="Arial"/>
                <w:b w:val="false"/>
                <w:b w:val="false"/>
                <w:bCs/>
                <w:i w:val="false"/>
                <w:i w:val="false"/>
                <w:caps/>
                <w:color w:val="000000"/>
                <w:spacing w:val="0"/>
                <w:kern w:val="0"/>
                <w:sz w:val="20"/>
                <w:szCs w:val="20"/>
                <w:highlight w:val="none"/>
                <w:shd w:fill="auto" w:val="clear"/>
                <w:lang w:val="pt-BR" w:eastAsia="pt-BR" w:bidi="ar-SA"/>
              </w:rPr>
            </w:pPr>
            <w:r>
              <w:rPr>
                <w:rFonts w:eastAsia="Times New Roman" w:cs="Arial" w:ascii="Arial" w:hAnsi="Arial"/>
                <w:b w:val="false"/>
                <w:bCs/>
                <w:i w:val="false"/>
                <w:caps/>
                <w:color w:val="000000"/>
                <w:spacing w:val="0"/>
                <w:kern w:val="0"/>
                <w:sz w:val="20"/>
                <w:szCs w:val="20"/>
                <w:shd w:fill="auto" w:val="clear"/>
                <w:lang w:val="pt-BR" w:eastAsia="pt-BR" w:bidi="ar-SA"/>
              </w:rPr>
              <w:t>24</w:t>
            </w:r>
          </w:p>
        </w:tc>
        <w:tc>
          <w:tcPr>
            <w:tcW w:w="1305" w:type="dxa"/>
            <w:tcBorders>
              <w:left w:val="single" w:sz="4" w:space="0" w:color="000000"/>
              <w:bottom w:val="single" w:sz="4" w:space="0" w:color="000000"/>
            </w:tcBorders>
          </w:tcPr>
          <w:p>
            <w:pPr>
              <w:pStyle w:val="Normal"/>
              <w:widowControl w:val="false"/>
              <w:suppressAutoHyphens w:val="true"/>
              <w:spacing w:lineRule="auto" w:line="276" w:before="0" w:after="120"/>
              <w:rPr>
                <w:rFonts w:ascii="Arial" w:hAnsi="Arial" w:eastAsia="Times New Roman" w:cs="Arial"/>
                <w:color w:val="000000"/>
                <w:kern w:val="0"/>
                <w:sz w:val="20"/>
                <w:szCs w:val="20"/>
                <w:lang w:val="pt-BR" w:eastAsia="pt-BR" w:bidi="ar-SA"/>
              </w:rPr>
            </w:pPr>
            <w:r>
              <w:rPr>
                <w:rFonts w:eastAsia="Times New Roman" w:cs="Arial"/>
                <w:color w:val="000000"/>
                <w:kern w:val="0"/>
                <w:sz w:val="20"/>
                <w:szCs w:val="20"/>
                <w:lang w:val="pt-BR" w:eastAsia="pt-BR" w:bidi="ar-SA"/>
              </w:rPr>
              <w:t xml:space="preserve">   </w:t>
            </w:r>
            <w:r>
              <w:rPr>
                <w:rFonts w:eastAsia="Times New Roman" w:cs="Arial"/>
                <w:color w:val="000000"/>
                <w:kern w:val="0"/>
                <w:sz w:val="20"/>
                <w:szCs w:val="20"/>
                <w:lang w:val="pt-BR" w:eastAsia="pt-BR" w:bidi="ar-SA"/>
              </w:rPr>
              <w:t>17,55</w:t>
            </w:r>
          </w:p>
        </w:tc>
        <w:tc>
          <w:tcPr>
            <w:tcW w:w="1256" w:type="dxa"/>
            <w:tcBorders>
              <w:left w:val="single" w:sz="4" w:space="0" w:color="000000"/>
              <w:bottom w:val="single" w:sz="4" w:space="0" w:color="000000"/>
              <w:right w:val="single" w:sz="4" w:space="0" w:color="000000"/>
            </w:tcBorders>
          </w:tcPr>
          <w:p>
            <w:pPr>
              <w:pStyle w:val="Contedodatabela"/>
              <w:widowControl w:val="false"/>
              <w:jc w:val="center"/>
              <w:rPr>
                <w:rFonts w:ascii="Arial" w:hAnsi="Arial" w:eastAsia="Times New Roman" w:cs="Arial"/>
                <w:color w:val="000000"/>
                <w:kern w:val="0"/>
                <w:sz w:val="20"/>
                <w:szCs w:val="20"/>
                <w:lang w:val="pt-BR" w:eastAsia="pt-BR" w:bidi="ar-SA"/>
              </w:rPr>
            </w:pPr>
            <w:r>
              <w:rPr>
                <w:rFonts w:eastAsia="Times New Roman" w:cs="Arial" w:ascii="Arial" w:hAnsi="Arial"/>
                <w:color w:val="000000"/>
                <w:kern w:val="0"/>
                <w:sz w:val="20"/>
                <w:szCs w:val="20"/>
                <w:lang w:val="pt-BR" w:eastAsia="pt-BR" w:bidi="ar-SA"/>
              </w:rPr>
              <w:t>421,20</w:t>
            </w:r>
          </w:p>
        </w:tc>
      </w:tr>
      <w:tr>
        <w:trPr/>
        <w:tc>
          <w:tcPr>
            <w:tcW w:w="1550" w:type="dxa"/>
            <w:vMerge w:val="continue"/>
            <w:tcBorders>
              <w:top w:val="single" w:sz="4" w:space="0" w:color="000000"/>
              <w:left w:val="single" w:sz="4" w:space="0" w:color="000000"/>
              <w:bottom w:val="single" w:sz="4" w:space="0" w:color="000000"/>
            </w:tcBorders>
          </w:tcPr>
          <w:p>
            <w:pPr>
              <w:pStyle w:val="Normal"/>
              <w:widowControl w:val="false"/>
              <w:suppressAutoHyphens w:val="true"/>
              <w:spacing w:lineRule="auto" w:line="276" w:before="0" w:after="120"/>
              <w:jc w:val="center"/>
              <w:rPr>
                <w:rFonts w:ascii="Arial" w:hAnsi="Arial" w:cs="Arial"/>
                <w:color w:val="000000"/>
                <w:sz w:val="20"/>
                <w:szCs w:val="20"/>
              </w:rPr>
            </w:pPr>
            <w:r>
              <w:rPr>
                <w:rFonts w:cs="Arial"/>
                <w:color w:val="000000"/>
                <w:sz w:val="20"/>
                <w:szCs w:val="20"/>
              </w:rPr>
            </w:r>
          </w:p>
        </w:tc>
        <w:tc>
          <w:tcPr>
            <w:tcW w:w="715"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ascii="Arial" w:hAnsi="Arial" w:cs="Arial"/>
                <w:color w:val="000000"/>
                <w:sz w:val="20"/>
                <w:szCs w:val="20"/>
              </w:rPr>
            </w:pPr>
            <w:r>
              <w:rPr>
                <w:rFonts w:cs="Arial"/>
                <w:color w:val="000000"/>
                <w:sz w:val="20"/>
                <w:szCs w:val="20"/>
              </w:rPr>
              <w:t>10</w:t>
            </w:r>
          </w:p>
        </w:tc>
        <w:tc>
          <w:tcPr>
            <w:tcW w:w="2984" w:type="dxa"/>
            <w:tcBorders>
              <w:left w:val="single" w:sz="4" w:space="0" w:color="000000"/>
              <w:bottom w:val="single" w:sz="4" w:space="0" w:color="000000"/>
              <w:right w:val="single" w:sz="4" w:space="0" w:color="000000"/>
            </w:tcBorders>
          </w:tcPr>
          <w:p>
            <w:pPr>
              <w:pStyle w:val="Contedodatabela"/>
              <w:widowControl w:val="false"/>
              <w:jc w:val="both"/>
              <w:rPr>
                <w:rFonts w:ascii="Arial" w:hAnsi="Arial"/>
                <w:color w:val="000000"/>
                <w:sz w:val="20"/>
                <w:szCs w:val="20"/>
              </w:rPr>
            </w:pPr>
            <w:r>
              <w:rPr>
                <w:rFonts w:eastAsia="SimSun;宋体" w:cs="Open Sans;sans-serif" w:ascii="Arial" w:hAnsi="Arial"/>
                <w:b w:val="false"/>
                <w:bCs/>
                <w:i w:val="false"/>
                <w:caps/>
                <w:color w:val="000000"/>
                <w:spacing w:val="0"/>
                <w:kern w:val="2"/>
                <w:sz w:val="20"/>
                <w:szCs w:val="20"/>
                <w:lang w:val="pt-BR" w:eastAsia="zh-CN" w:bidi="hi-IN"/>
              </w:rPr>
              <w:t>COMUNICAÇÃO POR CORREIO – CARTA REGISTRADA ACIMA DE 400 A 450 GRAMAS.</w:t>
            </w:r>
          </w:p>
        </w:tc>
        <w:tc>
          <w:tcPr>
            <w:tcW w:w="1132"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ascii="Arial" w:hAnsi="Arial" w:eastAsia="Times New Roman" w:cs="Arial"/>
                <w:color w:val="000000"/>
                <w:kern w:val="0"/>
                <w:sz w:val="20"/>
                <w:szCs w:val="20"/>
                <w:highlight w:val="none"/>
                <w:shd w:fill="auto" w:val="clear"/>
                <w:lang w:val="pt-BR" w:eastAsia="pt-BR" w:bidi="ar-SA"/>
              </w:rPr>
            </w:pPr>
            <w:r>
              <w:rPr>
                <w:rFonts w:eastAsia="Times New Roman" w:cs="Arial"/>
                <w:color w:val="000000"/>
                <w:kern w:val="0"/>
                <w:sz w:val="20"/>
                <w:szCs w:val="20"/>
                <w:shd w:fill="auto" w:val="clear"/>
                <w:lang w:val="pt-BR" w:eastAsia="pt-BR" w:bidi="ar-SA"/>
              </w:rPr>
              <w:t>Unidade</w:t>
            </w:r>
          </w:p>
        </w:tc>
        <w:tc>
          <w:tcPr>
            <w:tcW w:w="1133" w:type="dxa"/>
            <w:tcBorders>
              <w:left w:val="single" w:sz="4" w:space="0" w:color="000000"/>
              <w:bottom w:val="single" w:sz="4" w:space="0" w:color="000000"/>
              <w:right w:val="single" w:sz="4" w:space="0" w:color="000000"/>
            </w:tcBorders>
          </w:tcPr>
          <w:p>
            <w:pPr>
              <w:pStyle w:val="Contedodatabela"/>
              <w:widowControl w:val="false"/>
              <w:jc w:val="center"/>
              <w:rPr>
                <w:rFonts w:ascii="Arial" w:hAnsi="Arial" w:eastAsia="Times New Roman" w:cs="Arial"/>
                <w:b w:val="false"/>
                <w:b w:val="false"/>
                <w:bCs/>
                <w:i w:val="false"/>
                <w:i w:val="false"/>
                <w:caps/>
                <w:color w:val="000000"/>
                <w:spacing w:val="0"/>
                <w:kern w:val="0"/>
                <w:sz w:val="20"/>
                <w:szCs w:val="20"/>
                <w:highlight w:val="none"/>
                <w:shd w:fill="auto" w:val="clear"/>
                <w:lang w:val="pt-BR" w:eastAsia="pt-BR" w:bidi="ar-SA"/>
              </w:rPr>
            </w:pPr>
            <w:r>
              <w:rPr>
                <w:rFonts w:eastAsia="Times New Roman" w:cs="Arial" w:ascii="Arial" w:hAnsi="Arial"/>
                <w:b w:val="false"/>
                <w:bCs/>
                <w:i w:val="false"/>
                <w:caps/>
                <w:color w:val="000000"/>
                <w:spacing w:val="0"/>
                <w:kern w:val="0"/>
                <w:sz w:val="20"/>
                <w:szCs w:val="20"/>
                <w:shd w:fill="auto" w:val="clear"/>
                <w:lang w:val="pt-BR" w:eastAsia="pt-BR" w:bidi="ar-SA"/>
              </w:rPr>
              <w:t>24</w:t>
            </w:r>
          </w:p>
        </w:tc>
        <w:tc>
          <w:tcPr>
            <w:tcW w:w="1305" w:type="dxa"/>
            <w:tcBorders>
              <w:left w:val="single" w:sz="4" w:space="0" w:color="000000"/>
              <w:bottom w:val="single" w:sz="4" w:space="0" w:color="000000"/>
            </w:tcBorders>
          </w:tcPr>
          <w:p>
            <w:pPr>
              <w:pStyle w:val="Normal"/>
              <w:widowControl w:val="false"/>
              <w:suppressAutoHyphens w:val="true"/>
              <w:spacing w:lineRule="auto" w:line="276" w:before="0" w:after="120"/>
              <w:rPr>
                <w:rFonts w:ascii="Arial" w:hAnsi="Arial" w:eastAsia="Times New Roman" w:cs="Arial"/>
                <w:color w:val="000000"/>
                <w:kern w:val="0"/>
                <w:sz w:val="20"/>
                <w:szCs w:val="20"/>
                <w:lang w:val="pt-BR" w:eastAsia="pt-BR" w:bidi="ar-SA"/>
              </w:rPr>
            </w:pPr>
            <w:r>
              <w:rPr>
                <w:rFonts w:eastAsia="Times New Roman" w:cs="Arial"/>
                <w:color w:val="000000"/>
                <w:kern w:val="0"/>
                <w:sz w:val="20"/>
                <w:szCs w:val="20"/>
                <w:lang w:val="pt-BR" w:eastAsia="pt-BR" w:bidi="ar-SA"/>
              </w:rPr>
              <w:t xml:space="preserve"> </w:t>
            </w:r>
            <w:r>
              <w:rPr>
                <w:rFonts w:eastAsia="Times New Roman" w:cs="Arial"/>
                <w:color w:val="000000"/>
                <w:kern w:val="0"/>
                <w:sz w:val="20"/>
                <w:szCs w:val="20"/>
                <w:lang w:val="pt-BR" w:eastAsia="pt-BR" w:bidi="ar-SA"/>
              </w:rPr>
              <w:t>18,55</w:t>
            </w:r>
          </w:p>
        </w:tc>
        <w:tc>
          <w:tcPr>
            <w:tcW w:w="1256" w:type="dxa"/>
            <w:tcBorders>
              <w:left w:val="single" w:sz="4" w:space="0" w:color="000000"/>
              <w:bottom w:val="single" w:sz="4" w:space="0" w:color="000000"/>
              <w:right w:val="single" w:sz="4" w:space="0" w:color="000000"/>
            </w:tcBorders>
          </w:tcPr>
          <w:p>
            <w:pPr>
              <w:pStyle w:val="Contedodatabela"/>
              <w:widowControl w:val="false"/>
              <w:jc w:val="center"/>
              <w:rPr>
                <w:rFonts w:ascii="Arial" w:hAnsi="Arial" w:eastAsia="Times New Roman" w:cs="Arial"/>
                <w:color w:val="000000"/>
                <w:kern w:val="0"/>
                <w:sz w:val="20"/>
                <w:szCs w:val="20"/>
                <w:lang w:val="pt-BR" w:eastAsia="pt-BR" w:bidi="ar-SA"/>
              </w:rPr>
            </w:pPr>
            <w:r>
              <w:rPr>
                <w:rFonts w:eastAsia="Times New Roman" w:cs="Arial" w:ascii="Arial" w:hAnsi="Arial"/>
                <w:color w:val="000000"/>
                <w:kern w:val="0"/>
                <w:sz w:val="20"/>
                <w:szCs w:val="20"/>
                <w:lang w:val="pt-BR" w:eastAsia="pt-BR" w:bidi="ar-SA"/>
              </w:rPr>
              <w:t>445,20</w:t>
            </w:r>
          </w:p>
        </w:tc>
      </w:tr>
      <w:tr>
        <w:trPr/>
        <w:tc>
          <w:tcPr>
            <w:tcW w:w="1550" w:type="dxa"/>
            <w:vMerge w:val="continue"/>
            <w:tcBorders>
              <w:top w:val="single" w:sz="4" w:space="0" w:color="000000"/>
              <w:left w:val="single" w:sz="4" w:space="0" w:color="000000"/>
              <w:bottom w:val="single" w:sz="4" w:space="0" w:color="000000"/>
            </w:tcBorders>
          </w:tcPr>
          <w:p>
            <w:pPr>
              <w:pStyle w:val="Normal"/>
              <w:widowControl w:val="false"/>
              <w:suppressAutoHyphens w:val="true"/>
              <w:spacing w:lineRule="auto" w:line="276" w:before="0" w:after="120"/>
              <w:jc w:val="center"/>
              <w:rPr>
                <w:rFonts w:ascii="Arial" w:hAnsi="Arial" w:cs="Arial"/>
                <w:color w:val="000000"/>
                <w:sz w:val="20"/>
                <w:szCs w:val="20"/>
              </w:rPr>
            </w:pPr>
            <w:r>
              <w:rPr>
                <w:rFonts w:cs="Arial"/>
                <w:color w:val="000000"/>
                <w:sz w:val="20"/>
                <w:szCs w:val="20"/>
              </w:rPr>
            </w:r>
          </w:p>
        </w:tc>
        <w:tc>
          <w:tcPr>
            <w:tcW w:w="715"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ascii="Arial" w:hAnsi="Arial" w:cs="Arial"/>
                <w:color w:val="000000"/>
                <w:sz w:val="20"/>
                <w:szCs w:val="20"/>
              </w:rPr>
            </w:pPr>
            <w:r>
              <w:rPr>
                <w:rFonts w:cs="Arial"/>
                <w:color w:val="000000"/>
                <w:sz w:val="20"/>
                <w:szCs w:val="20"/>
              </w:rPr>
              <w:t>11</w:t>
            </w:r>
          </w:p>
        </w:tc>
        <w:tc>
          <w:tcPr>
            <w:tcW w:w="2984" w:type="dxa"/>
            <w:tcBorders>
              <w:left w:val="single" w:sz="4" w:space="0" w:color="000000"/>
              <w:bottom w:val="single" w:sz="4" w:space="0" w:color="000000"/>
              <w:right w:val="single" w:sz="4" w:space="0" w:color="000000"/>
            </w:tcBorders>
          </w:tcPr>
          <w:p>
            <w:pPr>
              <w:pStyle w:val="Contedodatabela"/>
              <w:widowControl w:val="false"/>
              <w:jc w:val="both"/>
              <w:rPr>
                <w:rFonts w:ascii="Arial" w:hAnsi="Arial"/>
                <w:color w:val="000000"/>
                <w:sz w:val="20"/>
                <w:szCs w:val="20"/>
              </w:rPr>
            </w:pPr>
            <w:r>
              <w:rPr>
                <w:rFonts w:eastAsia="SimSun;宋体" w:cs="Open Sans;sans-serif" w:ascii="Arial" w:hAnsi="Arial"/>
                <w:b w:val="false"/>
                <w:bCs/>
                <w:i w:val="false"/>
                <w:caps/>
                <w:color w:val="000000"/>
                <w:spacing w:val="0"/>
                <w:kern w:val="2"/>
                <w:sz w:val="20"/>
                <w:szCs w:val="20"/>
                <w:lang w:val="pt-BR" w:eastAsia="zh-CN" w:bidi="hi-IN"/>
              </w:rPr>
              <w:t>COMUNICAÇÃO POR CORREIO – CARTA REGISTRADA ACIMA DE 450 A 500 GRAMAS.</w:t>
            </w:r>
          </w:p>
        </w:tc>
        <w:tc>
          <w:tcPr>
            <w:tcW w:w="1132"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ascii="Arial" w:hAnsi="Arial" w:eastAsia="Times New Roman" w:cs="Arial"/>
                <w:color w:val="000000"/>
                <w:kern w:val="0"/>
                <w:sz w:val="20"/>
                <w:szCs w:val="20"/>
                <w:highlight w:val="none"/>
                <w:shd w:fill="auto" w:val="clear"/>
                <w:lang w:val="pt-BR" w:eastAsia="pt-BR" w:bidi="ar-SA"/>
              </w:rPr>
            </w:pPr>
            <w:r>
              <w:rPr>
                <w:rFonts w:eastAsia="Times New Roman" w:cs="Arial"/>
                <w:color w:val="000000"/>
                <w:kern w:val="0"/>
                <w:sz w:val="20"/>
                <w:szCs w:val="20"/>
                <w:shd w:fill="auto" w:val="clear"/>
                <w:lang w:val="pt-BR" w:eastAsia="pt-BR" w:bidi="ar-SA"/>
              </w:rPr>
              <w:t>Unidade</w:t>
            </w:r>
          </w:p>
        </w:tc>
        <w:tc>
          <w:tcPr>
            <w:tcW w:w="1133" w:type="dxa"/>
            <w:tcBorders>
              <w:left w:val="single" w:sz="4" w:space="0" w:color="000000"/>
              <w:bottom w:val="single" w:sz="4" w:space="0" w:color="000000"/>
              <w:right w:val="single" w:sz="4" w:space="0" w:color="000000"/>
            </w:tcBorders>
          </w:tcPr>
          <w:p>
            <w:pPr>
              <w:pStyle w:val="Contedodatabela"/>
              <w:widowControl w:val="false"/>
              <w:jc w:val="center"/>
              <w:rPr>
                <w:rFonts w:ascii="Arial" w:hAnsi="Arial" w:eastAsia="Times New Roman" w:cs="Arial"/>
                <w:b w:val="false"/>
                <w:b w:val="false"/>
                <w:bCs/>
                <w:i w:val="false"/>
                <w:i w:val="false"/>
                <w:caps/>
                <w:color w:val="000000"/>
                <w:spacing w:val="0"/>
                <w:kern w:val="0"/>
                <w:sz w:val="20"/>
                <w:szCs w:val="20"/>
                <w:highlight w:val="none"/>
                <w:shd w:fill="auto" w:val="clear"/>
                <w:lang w:val="pt-BR" w:eastAsia="pt-BR" w:bidi="ar-SA"/>
              </w:rPr>
            </w:pPr>
            <w:r>
              <w:rPr>
                <w:rFonts w:eastAsia="Times New Roman" w:cs="Arial" w:ascii="Arial" w:hAnsi="Arial"/>
                <w:b w:val="false"/>
                <w:bCs/>
                <w:i w:val="false"/>
                <w:caps/>
                <w:color w:val="000000"/>
                <w:spacing w:val="0"/>
                <w:kern w:val="0"/>
                <w:sz w:val="20"/>
                <w:szCs w:val="20"/>
                <w:shd w:fill="auto" w:val="clear"/>
                <w:lang w:val="pt-BR" w:eastAsia="pt-BR" w:bidi="ar-SA"/>
              </w:rPr>
              <w:t>24</w:t>
            </w:r>
          </w:p>
        </w:tc>
        <w:tc>
          <w:tcPr>
            <w:tcW w:w="1305" w:type="dxa"/>
            <w:tcBorders>
              <w:left w:val="single" w:sz="4" w:space="0" w:color="000000"/>
              <w:bottom w:val="single" w:sz="4" w:space="0" w:color="000000"/>
            </w:tcBorders>
          </w:tcPr>
          <w:p>
            <w:pPr>
              <w:pStyle w:val="Normal"/>
              <w:widowControl w:val="false"/>
              <w:suppressAutoHyphens w:val="true"/>
              <w:spacing w:lineRule="auto" w:line="276" w:before="0" w:after="120"/>
              <w:rPr>
                <w:rFonts w:ascii="Arial" w:hAnsi="Arial" w:eastAsia="Times New Roman" w:cs="Arial"/>
                <w:color w:val="000000"/>
                <w:kern w:val="0"/>
                <w:sz w:val="20"/>
                <w:szCs w:val="20"/>
                <w:lang w:val="pt-BR" w:eastAsia="pt-BR" w:bidi="ar-SA"/>
              </w:rPr>
            </w:pPr>
            <w:r>
              <w:rPr>
                <w:rFonts w:eastAsia="Times New Roman" w:cs="Arial"/>
                <w:color w:val="000000"/>
                <w:kern w:val="0"/>
                <w:sz w:val="20"/>
                <w:szCs w:val="20"/>
                <w:lang w:val="pt-BR" w:eastAsia="pt-BR" w:bidi="ar-SA"/>
              </w:rPr>
              <w:t xml:space="preserve"> </w:t>
            </w:r>
            <w:r>
              <w:rPr>
                <w:rFonts w:eastAsia="Times New Roman" w:cs="Arial"/>
                <w:color w:val="000000"/>
                <w:kern w:val="0"/>
                <w:sz w:val="20"/>
                <w:szCs w:val="20"/>
                <w:lang w:val="pt-BR" w:eastAsia="pt-BR" w:bidi="ar-SA"/>
              </w:rPr>
              <w:t>19,55</w:t>
            </w:r>
          </w:p>
        </w:tc>
        <w:tc>
          <w:tcPr>
            <w:tcW w:w="1256" w:type="dxa"/>
            <w:tcBorders>
              <w:left w:val="single" w:sz="4" w:space="0" w:color="000000"/>
              <w:bottom w:val="single" w:sz="4" w:space="0" w:color="000000"/>
              <w:right w:val="single" w:sz="4" w:space="0" w:color="000000"/>
            </w:tcBorders>
          </w:tcPr>
          <w:p>
            <w:pPr>
              <w:pStyle w:val="Contedodatabela"/>
              <w:widowControl w:val="false"/>
              <w:jc w:val="center"/>
              <w:rPr>
                <w:rFonts w:ascii="Arial" w:hAnsi="Arial" w:eastAsia="Times New Roman" w:cs="Arial"/>
                <w:color w:val="000000"/>
                <w:kern w:val="0"/>
                <w:sz w:val="20"/>
                <w:szCs w:val="20"/>
                <w:lang w:val="pt-BR" w:eastAsia="pt-BR" w:bidi="ar-SA"/>
              </w:rPr>
            </w:pPr>
            <w:r>
              <w:rPr>
                <w:rFonts w:eastAsia="Times New Roman" w:cs="Arial" w:ascii="Arial" w:hAnsi="Arial"/>
                <w:color w:val="000000"/>
                <w:kern w:val="0"/>
                <w:sz w:val="20"/>
                <w:szCs w:val="20"/>
                <w:lang w:val="pt-BR" w:eastAsia="pt-BR" w:bidi="ar-SA"/>
              </w:rPr>
              <w:t>469,20</w:t>
            </w:r>
          </w:p>
        </w:tc>
      </w:tr>
      <w:tr>
        <w:trPr/>
        <w:tc>
          <w:tcPr>
            <w:tcW w:w="1550" w:type="dxa"/>
            <w:vMerge w:val="continue"/>
            <w:tcBorders>
              <w:top w:val="single" w:sz="4" w:space="0" w:color="000000"/>
              <w:left w:val="single" w:sz="4" w:space="0" w:color="000000"/>
              <w:bottom w:val="single" w:sz="4" w:space="0" w:color="000000"/>
            </w:tcBorders>
          </w:tcPr>
          <w:p>
            <w:pPr>
              <w:pStyle w:val="Normal"/>
              <w:widowControl w:val="false"/>
              <w:suppressAutoHyphens w:val="true"/>
              <w:spacing w:lineRule="auto" w:line="276" w:before="0" w:after="120"/>
              <w:jc w:val="center"/>
              <w:rPr>
                <w:rFonts w:ascii="Arial" w:hAnsi="Arial" w:cs="Arial"/>
                <w:color w:val="000000"/>
                <w:sz w:val="20"/>
                <w:szCs w:val="20"/>
              </w:rPr>
            </w:pPr>
            <w:r>
              <w:rPr>
                <w:rFonts w:cs="Arial"/>
                <w:color w:val="000000"/>
                <w:sz w:val="20"/>
                <w:szCs w:val="20"/>
              </w:rPr>
            </w:r>
          </w:p>
        </w:tc>
        <w:tc>
          <w:tcPr>
            <w:tcW w:w="715"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ascii="Arial" w:hAnsi="Arial" w:cs="Arial"/>
                <w:color w:val="000000"/>
                <w:sz w:val="20"/>
                <w:szCs w:val="20"/>
              </w:rPr>
            </w:pPr>
            <w:r>
              <w:rPr>
                <w:rFonts w:cs="Arial"/>
                <w:color w:val="000000"/>
                <w:sz w:val="20"/>
                <w:szCs w:val="20"/>
              </w:rPr>
              <w:t>12</w:t>
            </w:r>
          </w:p>
        </w:tc>
        <w:tc>
          <w:tcPr>
            <w:tcW w:w="2984" w:type="dxa"/>
            <w:tcBorders>
              <w:left w:val="single" w:sz="4" w:space="0" w:color="000000"/>
              <w:bottom w:val="single" w:sz="4" w:space="0" w:color="000000"/>
              <w:right w:val="single" w:sz="4" w:space="0" w:color="000000"/>
            </w:tcBorders>
          </w:tcPr>
          <w:p>
            <w:pPr>
              <w:pStyle w:val="Contedodatabela"/>
              <w:widowControl w:val="false"/>
              <w:jc w:val="both"/>
              <w:rPr>
                <w:rFonts w:ascii="Arial" w:hAnsi="Arial"/>
                <w:color w:val="000000"/>
                <w:sz w:val="20"/>
                <w:szCs w:val="20"/>
              </w:rPr>
            </w:pPr>
            <w:r>
              <w:rPr>
                <w:rFonts w:ascii="Arial" w:hAnsi="Arial"/>
                <w:color w:val="000000"/>
                <w:sz w:val="20"/>
                <w:szCs w:val="20"/>
              </w:rPr>
              <w:t>Serviços Adicionais – Aviso de Recebimento</w:t>
            </w:r>
          </w:p>
        </w:tc>
        <w:tc>
          <w:tcPr>
            <w:tcW w:w="1132"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ascii="Arial" w:hAnsi="Arial" w:eastAsia="Times New Roman" w:cs="Arial"/>
                <w:color w:val="000000"/>
                <w:kern w:val="0"/>
                <w:sz w:val="20"/>
                <w:szCs w:val="20"/>
                <w:highlight w:val="none"/>
                <w:shd w:fill="auto" w:val="clear"/>
                <w:lang w:val="pt-BR" w:eastAsia="pt-BR" w:bidi="ar-SA"/>
              </w:rPr>
            </w:pPr>
            <w:r>
              <w:rPr>
                <w:rFonts w:eastAsia="Times New Roman" w:cs="Arial"/>
                <w:color w:val="000000"/>
                <w:kern w:val="0"/>
                <w:sz w:val="20"/>
                <w:szCs w:val="20"/>
                <w:shd w:fill="auto" w:val="clear"/>
                <w:lang w:val="pt-BR" w:eastAsia="pt-BR" w:bidi="ar-SA"/>
              </w:rPr>
              <w:t>Unidade</w:t>
            </w:r>
          </w:p>
        </w:tc>
        <w:tc>
          <w:tcPr>
            <w:tcW w:w="1133" w:type="dxa"/>
            <w:tcBorders>
              <w:left w:val="single" w:sz="4" w:space="0" w:color="000000"/>
              <w:bottom w:val="single" w:sz="4" w:space="0" w:color="000000"/>
              <w:right w:val="single" w:sz="4" w:space="0" w:color="000000"/>
            </w:tcBorders>
          </w:tcPr>
          <w:p>
            <w:pPr>
              <w:pStyle w:val="Contedodatabela"/>
              <w:widowControl w:val="false"/>
              <w:jc w:val="center"/>
              <w:rPr>
                <w:rFonts w:ascii="Arial" w:hAnsi="Arial" w:eastAsia="Times New Roman" w:cs="Arial"/>
                <w:b w:val="false"/>
                <w:b w:val="false"/>
                <w:bCs/>
                <w:i w:val="false"/>
                <w:i w:val="false"/>
                <w:caps/>
                <w:color w:val="000000"/>
                <w:spacing w:val="0"/>
                <w:kern w:val="0"/>
                <w:sz w:val="20"/>
                <w:szCs w:val="20"/>
                <w:highlight w:val="none"/>
                <w:shd w:fill="auto" w:val="clear"/>
                <w:lang w:val="pt-BR" w:eastAsia="pt-BR" w:bidi="ar-SA"/>
              </w:rPr>
            </w:pPr>
            <w:r>
              <w:rPr>
                <w:rFonts w:eastAsia="Times New Roman" w:cs="Arial" w:ascii="Arial" w:hAnsi="Arial"/>
                <w:b w:val="false"/>
                <w:bCs/>
                <w:i w:val="false"/>
                <w:caps/>
                <w:color w:val="000000"/>
                <w:spacing w:val="0"/>
                <w:kern w:val="0"/>
                <w:sz w:val="20"/>
                <w:szCs w:val="20"/>
                <w:shd w:fill="auto" w:val="clear"/>
                <w:lang w:val="pt-BR" w:eastAsia="pt-BR" w:bidi="ar-SA"/>
              </w:rPr>
              <w:t>156</w:t>
            </w:r>
          </w:p>
        </w:tc>
        <w:tc>
          <w:tcPr>
            <w:tcW w:w="1305" w:type="dxa"/>
            <w:tcBorders>
              <w:left w:val="single" w:sz="4" w:space="0" w:color="000000"/>
              <w:bottom w:val="single" w:sz="4" w:space="0" w:color="000000"/>
            </w:tcBorders>
          </w:tcPr>
          <w:p>
            <w:pPr>
              <w:pStyle w:val="Normal"/>
              <w:widowControl w:val="false"/>
              <w:suppressAutoHyphens w:val="true"/>
              <w:spacing w:lineRule="auto" w:line="276" w:before="0" w:after="120"/>
              <w:jc w:val="center"/>
              <w:rPr>
                <w:rFonts w:ascii="Arial" w:hAnsi="Arial" w:eastAsia="Times New Roman" w:cs="Arial"/>
                <w:color w:val="000000"/>
                <w:kern w:val="0"/>
                <w:sz w:val="20"/>
                <w:szCs w:val="20"/>
                <w:lang w:val="pt-BR" w:eastAsia="pt-BR" w:bidi="ar-SA"/>
              </w:rPr>
            </w:pPr>
            <w:r>
              <w:rPr>
                <w:rFonts w:eastAsia="Times New Roman" w:cs="Arial"/>
                <w:color w:val="000000"/>
                <w:kern w:val="0"/>
                <w:sz w:val="20"/>
                <w:szCs w:val="20"/>
                <w:lang w:val="pt-BR" w:eastAsia="pt-BR" w:bidi="ar-SA"/>
              </w:rPr>
              <w:t xml:space="preserve"> </w:t>
            </w:r>
            <w:r>
              <w:rPr>
                <w:rFonts w:eastAsia="Times New Roman" w:cs="Arial"/>
                <w:color w:val="000000"/>
                <w:kern w:val="0"/>
                <w:sz w:val="20"/>
                <w:szCs w:val="20"/>
                <w:lang w:val="pt-BR" w:eastAsia="pt-BR" w:bidi="ar-SA"/>
              </w:rPr>
              <w:t>7,00</w:t>
            </w:r>
          </w:p>
        </w:tc>
        <w:tc>
          <w:tcPr>
            <w:tcW w:w="1256" w:type="dxa"/>
            <w:tcBorders>
              <w:left w:val="single" w:sz="4" w:space="0" w:color="000000"/>
              <w:bottom w:val="single" w:sz="4" w:space="0" w:color="000000"/>
              <w:right w:val="single" w:sz="4" w:space="0" w:color="000000"/>
            </w:tcBorders>
          </w:tcPr>
          <w:p>
            <w:pPr>
              <w:pStyle w:val="Contedodatabela"/>
              <w:widowControl w:val="false"/>
              <w:jc w:val="center"/>
              <w:rPr>
                <w:rFonts w:ascii="Arial" w:hAnsi="Arial" w:eastAsia="Times New Roman" w:cs="Arial"/>
                <w:color w:val="000000"/>
                <w:kern w:val="0"/>
                <w:sz w:val="20"/>
                <w:szCs w:val="20"/>
                <w:lang w:val="pt-BR" w:eastAsia="pt-BR" w:bidi="ar-SA"/>
              </w:rPr>
            </w:pPr>
            <w:r>
              <w:rPr>
                <w:rFonts w:eastAsia="Times New Roman" w:cs="Arial" w:ascii="Arial" w:hAnsi="Arial"/>
                <w:color w:val="000000"/>
                <w:kern w:val="0"/>
                <w:sz w:val="20"/>
                <w:szCs w:val="20"/>
                <w:lang w:val="pt-BR" w:eastAsia="pt-BR" w:bidi="ar-SA"/>
              </w:rPr>
              <w:t>1.092</w:t>
            </w:r>
          </w:p>
        </w:tc>
      </w:tr>
      <w:tr>
        <w:trPr/>
        <w:tc>
          <w:tcPr>
            <w:tcW w:w="1550" w:type="dxa"/>
            <w:vMerge w:val="continue"/>
            <w:tcBorders>
              <w:left w:val="single" w:sz="4" w:space="0" w:color="000000"/>
              <w:bottom w:val="single" w:sz="4" w:space="0" w:color="000000"/>
            </w:tcBorders>
          </w:tcPr>
          <w:p>
            <w:pPr>
              <w:pStyle w:val="Normal"/>
              <w:widowControl w:val="false"/>
              <w:suppressAutoHyphens w:val="true"/>
              <w:spacing w:lineRule="auto" w:line="276" w:before="0" w:after="120"/>
              <w:jc w:val="center"/>
              <w:rPr>
                <w:rFonts w:ascii="Arial" w:hAnsi="Arial" w:cs="Arial"/>
                <w:color w:val="000000"/>
                <w:sz w:val="20"/>
                <w:szCs w:val="20"/>
              </w:rPr>
            </w:pPr>
            <w:r>
              <w:rPr>
                <w:rFonts w:cs="Arial"/>
                <w:color w:val="000000"/>
                <w:sz w:val="20"/>
                <w:szCs w:val="20"/>
              </w:rPr>
            </w:r>
          </w:p>
        </w:tc>
        <w:tc>
          <w:tcPr>
            <w:tcW w:w="715"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ascii="Arial" w:hAnsi="Arial" w:cs="Arial"/>
                <w:color w:val="000000"/>
                <w:sz w:val="20"/>
                <w:szCs w:val="20"/>
              </w:rPr>
            </w:pPr>
            <w:r>
              <w:rPr>
                <w:rFonts w:cs="Arial"/>
                <w:color w:val="000000"/>
                <w:sz w:val="20"/>
                <w:szCs w:val="20"/>
              </w:rPr>
              <w:t>13</w:t>
            </w:r>
          </w:p>
        </w:tc>
        <w:tc>
          <w:tcPr>
            <w:tcW w:w="2984" w:type="dxa"/>
            <w:tcBorders>
              <w:left w:val="single" w:sz="4" w:space="0" w:color="000000"/>
              <w:bottom w:val="single" w:sz="4" w:space="0" w:color="000000"/>
              <w:right w:val="single" w:sz="4" w:space="0" w:color="000000"/>
            </w:tcBorders>
          </w:tcPr>
          <w:p>
            <w:pPr>
              <w:pStyle w:val="Contedodatabela"/>
              <w:widowControl w:val="false"/>
              <w:jc w:val="both"/>
              <w:rPr>
                <w:rFonts w:ascii="Arial" w:hAnsi="Arial"/>
                <w:color w:val="000000"/>
                <w:sz w:val="20"/>
                <w:szCs w:val="20"/>
              </w:rPr>
            </w:pPr>
            <w:r>
              <w:rPr>
                <w:rFonts w:eastAsia="SimSun;宋体" w:cs="Open Sans;sans-serif" w:ascii="Arial" w:hAnsi="Arial"/>
                <w:b w:val="false"/>
                <w:bCs/>
                <w:i w:val="false"/>
                <w:caps/>
                <w:color w:val="000000"/>
                <w:spacing w:val="0"/>
                <w:kern w:val="2"/>
                <w:sz w:val="20"/>
                <w:szCs w:val="20"/>
                <w:lang w:val="pt-BR" w:eastAsia="zh-CN" w:bidi="hi-IN"/>
              </w:rPr>
              <w:t>CORRESPONDÊNCIAS AGRUPADAS (MALOTE) - ATÉ 1 KG.</w:t>
            </w:r>
          </w:p>
        </w:tc>
        <w:tc>
          <w:tcPr>
            <w:tcW w:w="1132"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ascii="Arial" w:hAnsi="Arial" w:eastAsia="Times New Roman" w:cs="Arial"/>
                <w:color w:val="000000"/>
                <w:kern w:val="0"/>
                <w:sz w:val="20"/>
                <w:szCs w:val="20"/>
                <w:lang w:val="pt-BR" w:eastAsia="pt-BR" w:bidi="ar-SA"/>
              </w:rPr>
            </w:pPr>
            <w:r>
              <w:rPr>
                <w:rFonts w:eastAsia="Times New Roman" w:cs="Arial"/>
                <w:color w:val="000000"/>
                <w:kern w:val="0"/>
                <w:sz w:val="20"/>
                <w:szCs w:val="20"/>
                <w:lang w:val="pt-BR" w:eastAsia="pt-BR" w:bidi="ar-SA"/>
              </w:rPr>
              <w:t>Unidade</w:t>
            </w:r>
          </w:p>
        </w:tc>
        <w:tc>
          <w:tcPr>
            <w:tcW w:w="1133" w:type="dxa"/>
            <w:tcBorders>
              <w:left w:val="single" w:sz="4" w:space="0" w:color="000000"/>
              <w:bottom w:val="single" w:sz="4" w:space="0" w:color="000000"/>
              <w:right w:val="single" w:sz="4" w:space="0" w:color="000000"/>
            </w:tcBorders>
          </w:tcPr>
          <w:p>
            <w:pPr>
              <w:pStyle w:val="Contedodatabela"/>
              <w:widowControl w:val="false"/>
              <w:jc w:val="center"/>
              <w:rPr>
                <w:rFonts w:ascii="Arial" w:hAnsi="Arial" w:eastAsia="Times New Roman" w:cs="Arial"/>
                <w:b w:val="false"/>
                <w:b w:val="false"/>
                <w:bCs/>
                <w:i w:val="false"/>
                <w:i w:val="false"/>
                <w:caps/>
                <w:color w:val="000000"/>
                <w:spacing w:val="0"/>
                <w:kern w:val="0"/>
                <w:sz w:val="20"/>
                <w:szCs w:val="20"/>
                <w:lang w:val="pt-BR" w:eastAsia="pt-BR" w:bidi="ar-SA"/>
              </w:rPr>
            </w:pPr>
            <w:r>
              <w:rPr>
                <w:rFonts w:eastAsia="Times New Roman" w:cs="Arial" w:ascii="Arial" w:hAnsi="Arial"/>
                <w:b w:val="false"/>
                <w:bCs/>
                <w:i w:val="false"/>
                <w:caps/>
                <w:color w:val="000000"/>
                <w:spacing w:val="0"/>
                <w:kern w:val="0"/>
                <w:sz w:val="20"/>
                <w:szCs w:val="20"/>
                <w:lang w:val="pt-BR" w:eastAsia="pt-BR" w:bidi="ar-SA"/>
              </w:rPr>
              <w:t>24</w:t>
            </w:r>
          </w:p>
        </w:tc>
        <w:tc>
          <w:tcPr>
            <w:tcW w:w="1305" w:type="dxa"/>
            <w:tcBorders>
              <w:left w:val="single" w:sz="4" w:space="0" w:color="000000"/>
              <w:bottom w:val="single" w:sz="4" w:space="0" w:color="000000"/>
            </w:tcBorders>
          </w:tcPr>
          <w:p>
            <w:pPr>
              <w:pStyle w:val="Contedodatabela"/>
              <w:widowControl w:val="false"/>
              <w:jc w:val="center"/>
              <w:rPr>
                <w:rFonts w:ascii="Arial" w:hAnsi="Arial" w:eastAsia="Times New Roman" w:cs="Arial"/>
                <w:color w:val="000000"/>
                <w:kern w:val="0"/>
                <w:sz w:val="20"/>
                <w:szCs w:val="20"/>
                <w:lang w:val="pt-BR" w:eastAsia="pt-BR" w:bidi="ar-SA"/>
              </w:rPr>
            </w:pPr>
            <w:r>
              <w:rPr>
                <w:rFonts w:eastAsia="Times New Roman" w:cs="Arial" w:ascii="Arial" w:hAnsi="Arial"/>
                <w:color w:val="000000"/>
                <w:kern w:val="0"/>
                <w:sz w:val="20"/>
                <w:szCs w:val="20"/>
                <w:lang w:val="pt-BR" w:eastAsia="pt-BR" w:bidi="ar-SA"/>
              </w:rPr>
              <w:t>145,68</w:t>
            </w:r>
          </w:p>
        </w:tc>
        <w:tc>
          <w:tcPr>
            <w:tcW w:w="1256" w:type="dxa"/>
            <w:tcBorders>
              <w:left w:val="single" w:sz="4" w:space="0" w:color="000000"/>
              <w:bottom w:val="single" w:sz="4" w:space="0" w:color="000000"/>
              <w:right w:val="single" w:sz="4" w:space="0" w:color="000000"/>
            </w:tcBorders>
          </w:tcPr>
          <w:p>
            <w:pPr>
              <w:pStyle w:val="Contedodatabela"/>
              <w:widowControl w:val="false"/>
              <w:jc w:val="center"/>
              <w:rPr>
                <w:rFonts w:ascii="Arial" w:hAnsi="Arial" w:eastAsia="Times New Roman" w:cs="Arial"/>
                <w:color w:val="000000"/>
                <w:kern w:val="0"/>
                <w:sz w:val="20"/>
                <w:szCs w:val="20"/>
                <w:lang w:val="pt-BR" w:eastAsia="pt-BR" w:bidi="ar-SA"/>
              </w:rPr>
            </w:pPr>
            <w:r>
              <w:rPr>
                <w:rFonts w:eastAsia="Times New Roman" w:cs="Arial" w:ascii="Arial" w:hAnsi="Arial"/>
                <w:color w:val="000000"/>
                <w:kern w:val="0"/>
                <w:sz w:val="20"/>
                <w:szCs w:val="20"/>
                <w:lang w:val="pt-BR" w:eastAsia="pt-BR" w:bidi="ar-SA"/>
              </w:rPr>
              <w:t>3.496,32</w:t>
            </w:r>
          </w:p>
        </w:tc>
      </w:tr>
      <w:tr>
        <w:trPr/>
        <w:tc>
          <w:tcPr>
            <w:tcW w:w="1550" w:type="dxa"/>
            <w:vMerge w:val="continue"/>
            <w:tcBorders>
              <w:top w:val="single" w:sz="4" w:space="0" w:color="000000"/>
              <w:left w:val="single" w:sz="4" w:space="0" w:color="000000"/>
              <w:bottom w:val="single" w:sz="4" w:space="0" w:color="000000"/>
            </w:tcBorders>
          </w:tcPr>
          <w:p>
            <w:pPr>
              <w:pStyle w:val="Normal"/>
              <w:widowControl w:val="false"/>
              <w:suppressAutoHyphens w:val="true"/>
              <w:spacing w:lineRule="auto" w:line="276" w:before="0" w:after="120"/>
              <w:jc w:val="center"/>
              <w:rPr>
                <w:rFonts w:ascii="Arial" w:hAnsi="Arial" w:cs="Arial"/>
                <w:color w:val="000000"/>
                <w:sz w:val="20"/>
                <w:szCs w:val="20"/>
              </w:rPr>
            </w:pPr>
            <w:r>
              <w:rPr>
                <w:rFonts w:cs="Arial"/>
                <w:color w:val="000000"/>
                <w:sz w:val="20"/>
                <w:szCs w:val="20"/>
              </w:rPr>
            </w:r>
          </w:p>
        </w:tc>
        <w:tc>
          <w:tcPr>
            <w:tcW w:w="715"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ascii="Arial" w:hAnsi="Arial" w:cs="Arial"/>
                <w:color w:val="000000"/>
                <w:sz w:val="20"/>
                <w:szCs w:val="20"/>
              </w:rPr>
            </w:pPr>
            <w:r>
              <w:rPr>
                <w:rFonts w:cs="Arial"/>
                <w:color w:val="000000"/>
                <w:sz w:val="20"/>
                <w:szCs w:val="20"/>
              </w:rPr>
              <w:t>14</w:t>
            </w:r>
          </w:p>
        </w:tc>
        <w:tc>
          <w:tcPr>
            <w:tcW w:w="2984" w:type="dxa"/>
            <w:tcBorders>
              <w:left w:val="single" w:sz="4" w:space="0" w:color="000000"/>
              <w:bottom w:val="single" w:sz="4" w:space="0" w:color="000000"/>
              <w:right w:val="single" w:sz="4" w:space="0" w:color="000000"/>
            </w:tcBorders>
          </w:tcPr>
          <w:p>
            <w:pPr>
              <w:pStyle w:val="Contedodatabela"/>
              <w:widowControl w:val="false"/>
              <w:jc w:val="both"/>
              <w:rPr>
                <w:rFonts w:ascii="Arial" w:hAnsi="Arial"/>
                <w:color w:val="000000"/>
                <w:sz w:val="20"/>
                <w:szCs w:val="20"/>
              </w:rPr>
            </w:pPr>
            <w:r>
              <w:rPr>
                <w:rFonts w:eastAsia="SimSun;宋体" w:cs="Open Sans;sans-serif" w:ascii="Arial" w:hAnsi="Arial"/>
                <w:b w:val="false"/>
                <w:bCs/>
                <w:i w:val="false"/>
                <w:caps/>
                <w:color w:val="000000"/>
                <w:spacing w:val="0"/>
                <w:kern w:val="2"/>
                <w:sz w:val="20"/>
                <w:szCs w:val="20"/>
                <w:lang w:val="pt-BR" w:eastAsia="zh-CN" w:bidi="hi-IN"/>
              </w:rPr>
              <w:t>CORRESPONDÊNCIAS AGRUPADAS (MALOTE) - ACIMA DE 1 ATÉ 2 KG.</w:t>
            </w:r>
          </w:p>
        </w:tc>
        <w:tc>
          <w:tcPr>
            <w:tcW w:w="1132"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ascii="Arial" w:hAnsi="Arial" w:eastAsia="Times New Roman" w:cs="Arial"/>
                <w:color w:val="000000"/>
                <w:kern w:val="0"/>
                <w:sz w:val="20"/>
                <w:szCs w:val="20"/>
                <w:lang w:val="pt-BR" w:eastAsia="pt-BR" w:bidi="ar-SA"/>
              </w:rPr>
            </w:pPr>
            <w:r>
              <w:rPr>
                <w:rFonts w:eastAsia="Times New Roman" w:cs="Arial"/>
                <w:color w:val="000000"/>
                <w:kern w:val="0"/>
                <w:sz w:val="20"/>
                <w:szCs w:val="20"/>
                <w:lang w:val="pt-BR" w:eastAsia="pt-BR" w:bidi="ar-SA"/>
              </w:rPr>
              <w:t>Unidade</w:t>
            </w:r>
          </w:p>
        </w:tc>
        <w:tc>
          <w:tcPr>
            <w:tcW w:w="1133" w:type="dxa"/>
            <w:tcBorders>
              <w:left w:val="single" w:sz="4" w:space="0" w:color="000000"/>
              <w:bottom w:val="single" w:sz="4" w:space="0" w:color="000000"/>
              <w:right w:val="single" w:sz="4" w:space="0" w:color="000000"/>
            </w:tcBorders>
          </w:tcPr>
          <w:p>
            <w:pPr>
              <w:pStyle w:val="Contedodatabela"/>
              <w:widowControl w:val="false"/>
              <w:jc w:val="center"/>
              <w:rPr>
                <w:rFonts w:ascii="Arial" w:hAnsi="Arial" w:eastAsia="Times New Roman" w:cs="Arial"/>
                <w:b w:val="false"/>
                <w:b w:val="false"/>
                <w:bCs/>
                <w:i w:val="false"/>
                <w:i w:val="false"/>
                <w:caps/>
                <w:color w:val="000000"/>
                <w:spacing w:val="0"/>
                <w:kern w:val="0"/>
                <w:sz w:val="20"/>
                <w:szCs w:val="20"/>
                <w:lang w:val="pt-BR" w:eastAsia="pt-BR" w:bidi="ar-SA"/>
              </w:rPr>
            </w:pPr>
            <w:r>
              <w:rPr>
                <w:rFonts w:eastAsia="Times New Roman" w:cs="Arial" w:ascii="Arial" w:hAnsi="Arial"/>
                <w:b w:val="false"/>
                <w:bCs/>
                <w:i w:val="false"/>
                <w:caps/>
                <w:color w:val="000000"/>
                <w:spacing w:val="0"/>
                <w:kern w:val="0"/>
                <w:sz w:val="20"/>
                <w:szCs w:val="20"/>
                <w:lang w:val="pt-BR" w:eastAsia="pt-BR" w:bidi="ar-SA"/>
              </w:rPr>
              <w:t>24</w:t>
            </w:r>
          </w:p>
        </w:tc>
        <w:tc>
          <w:tcPr>
            <w:tcW w:w="1305" w:type="dxa"/>
            <w:tcBorders>
              <w:left w:val="single" w:sz="4" w:space="0" w:color="000000"/>
              <w:bottom w:val="single" w:sz="4" w:space="0" w:color="000000"/>
            </w:tcBorders>
          </w:tcPr>
          <w:p>
            <w:pPr>
              <w:pStyle w:val="Contedodatabela"/>
              <w:widowControl w:val="false"/>
              <w:jc w:val="center"/>
              <w:rPr>
                <w:rFonts w:ascii="Arial" w:hAnsi="Arial" w:eastAsia="Times New Roman" w:cs="Arial"/>
                <w:color w:val="000000"/>
                <w:kern w:val="0"/>
                <w:sz w:val="20"/>
                <w:szCs w:val="20"/>
                <w:lang w:val="pt-BR" w:eastAsia="pt-BR" w:bidi="ar-SA"/>
              </w:rPr>
            </w:pPr>
            <w:r>
              <w:rPr>
                <w:rFonts w:eastAsia="Times New Roman" w:cs="Arial" w:ascii="Arial" w:hAnsi="Arial"/>
                <w:color w:val="000000"/>
                <w:kern w:val="0"/>
                <w:sz w:val="20"/>
                <w:szCs w:val="20"/>
                <w:lang w:val="pt-BR" w:eastAsia="pt-BR" w:bidi="ar-SA"/>
              </w:rPr>
              <w:t>166,16</w:t>
            </w:r>
          </w:p>
        </w:tc>
        <w:tc>
          <w:tcPr>
            <w:tcW w:w="1256" w:type="dxa"/>
            <w:tcBorders>
              <w:left w:val="single" w:sz="4" w:space="0" w:color="000000"/>
              <w:bottom w:val="single" w:sz="4" w:space="0" w:color="000000"/>
              <w:right w:val="single" w:sz="4" w:space="0" w:color="000000"/>
            </w:tcBorders>
          </w:tcPr>
          <w:p>
            <w:pPr>
              <w:pStyle w:val="Contedodatabela"/>
              <w:widowControl w:val="false"/>
              <w:jc w:val="center"/>
              <w:rPr>
                <w:rFonts w:ascii="Arial" w:hAnsi="Arial" w:eastAsia="Times New Roman" w:cs="Arial"/>
                <w:color w:val="000000"/>
                <w:kern w:val="0"/>
                <w:sz w:val="20"/>
                <w:szCs w:val="20"/>
                <w:lang w:val="pt-BR" w:eastAsia="pt-BR" w:bidi="ar-SA"/>
              </w:rPr>
            </w:pPr>
            <w:r>
              <w:rPr>
                <w:rFonts w:eastAsia="Times New Roman" w:cs="Arial" w:ascii="Arial" w:hAnsi="Arial"/>
                <w:color w:val="000000"/>
                <w:kern w:val="0"/>
                <w:sz w:val="20"/>
                <w:szCs w:val="20"/>
                <w:lang w:val="pt-BR" w:eastAsia="pt-BR" w:bidi="ar-SA"/>
              </w:rPr>
              <w:t>3.987,84</w:t>
            </w:r>
          </w:p>
        </w:tc>
      </w:tr>
      <w:tr>
        <w:trPr/>
        <w:tc>
          <w:tcPr>
            <w:tcW w:w="1550" w:type="dxa"/>
            <w:vMerge w:val="continue"/>
            <w:tcBorders>
              <w:top w:val="single" w:sz="4" w:space="0" w:color="000000"/>
              <w:left w:val="single" w:sz="4" w:space="0" w:color="000000"/>
              <w:bottom w:val="single" w:sz="4" w:space="0" w:color="000000"/>
            </w:tcBorders>
          </w:tcPr>
          <w:p>
            <w:pPr>
              <w:pStyle w:val="Normal"/>
              <w:widowControl w:val="false"/>
              <w:suppressAutoHyphens w:val="true"/>
              <w:spacing w:lineRule="auto" w:line="276" w:before="0" w:after="120"/>
              <w:jc w:val="center"/>
              <w:rPr>
                <w:rFonts w:ascii="Arial" w:hAnsi="Arial" w:cs="Arial"/>
                <w:color w:val="000000"/>
                <w:sz w:val="20"/>
                <w:szCs w:val="20"/>
              </w:rPr>
            </w:pPr>
            <w:r>
              <w:rPr>
                <w:rFonts w:cs="Arial"/>
                <w:color w:val="000000"/>
                <w:sz w:val="20"/>
                <w:szCs w:val="20"/>
              </w:rPr>
            </w:r>
          </w:p>
        </w:tc>
        <w:tc>
          <w:tcPr>
            <w:tcW w:w="715"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ascii="Arial" w:hAnsi="Arial" w:cs="Arial"/>
                <w:color w:val="000000"/>
                <w:sz w:val="20"/>
                <w:szCs w:val="20"/>
              </w:rPr>
            </w:pPr>
            <w:r>
              <w:rPr>
                <w:rFonts w:cs="Arial"/>
                <w:color w:val="000000"/>
                <w:sz w:val="20"/>
                <w:szCs w:val="20"/>
              </w:rPr>
              <w:t>15</w:t>
            </w:r>
          </w:p>
        </w:tc>
        <w:tc>
          <w:tcPr>
            <w:tcW w:w="2984" w:type="dxa"/>
            <w:tcBorders>
              <w:left w:val="single" w:sz="4" w:space="0" w:color="000000"/>
              <w:bottom w:val="single" w:sz="4" w:space="0" w:color="000000"/>
              <w:right w:val="single" w:sz="4" w:space="0" w:color="000000"/>
            </w:tcBorders>
          </w:tcPr>
          <w:p>
            <w:pPr>
              <w:pStyle w:val="Contedodatabela"/>
              <w:widowControl w:val="false"/>
              <w:jc w:val="both"/>
              <w:rPr>
                <w:rFonts w:ascii="Arial" w:hAnsi="Arial"/>
                <w:color w:val="000000"/>
                <w:sz w:val="20"/>
                <w:szCs w:val="20"/>
              </w:rPr>
            </w:pPr>
            <w:r>
              <w:rPr>
                <w:rFonts w:eastAsia="SimSun;宋体" w:cs="Open Sans;sans-serif" w:ascii="Arial" w:hAnsi="Arial"/>
                <w:b w:val="false"/>
                <w:bCs/>
                <w:i w:val="false"/>
                <w:caps/>
                <w:color w:val="000000"/>
                <w:spacing w:val="0"/>
                <w:kern w:val="2"/>
                <w:sz w:val="20"/>
                <w:szCs w:val="20"/>
                <w:lang w:val="pt-BR" w:eastAsia="zh-CN" w:bidi="hi-IN"/>
              </w:rPr>
              <w:t>CORRESPONDÊNCIAS AGRUPADAS (MALOTE)- ACIMA DE 2 ATÉ 3 KG.</w:t>
            </w:r>
          </w:p>
        </w:tc>
        <w:tc>
          <w:tcPr>
            <w:tcW w:w="1132"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ascii="Arial" w:hAnsi="Arial" w:eastAsia="Times New Roman" w:cs="Arial"/>
                <w:color w:val="000000"/>
                <w:kern w:val="0"/>
                <w:sz w:val="20"/>
                <w:szCs w:val="20"/>
                <w:lang w:val="pt-BR" w:eastAsia="pt-BR" w:bidi="ar-SA"/>
              </w:rPr>
            </w:pPr>
            <w:r>
              <w:rPr>
                <w:rFonts w:eastAsia="Times New Roman" w:cs="Arial"/>
                <w:color w:val="000000"/>
                <w:kern w:val="0"/>
                <w:sz w:val="20"/>
                <w:szCs w:val="20"/>
                <w:lang w:val="pt-BR" w:eastAsia="pt-BR" w:bidi="ar-SA"/>
              </w:rPr>
              <w:t>Unidade</w:t>
            </w:r>
          </w:p>
        </w:tc>
        <w:tc>
          <w:tcPr>
            <w:tcW w:w="1133" w:type="dxa"/>
            <w:tcBorders>
              <w:left w:val="single" w:sz="4" w:space="0" w:color="000000"/>
              <w:bottom w:val="single" w:sz="4" w:space="0" w:color="000000"/>
              <w:right w:val="single" w:sz="4" w:space="0" w:color="000000"/>
            </w:tcBorders>
          </w:tcPr>
          <w:p>
            <w:pPr>
              <w:pStyle w:val="Contedodatabela"/>
              <w:widowControl w:val="false"/>
              <w:jc w:val="center"/>
              <w:rPr>
                <w:rFonts w:ascii="Arial" w:hAnsi="Arial" w:eastAsia="Times New Roman" w:cs="Arial"/>
                <w:b w:val="false"/>
                <w:b w:val="false"/>
                <w:bCs/>
                <w:i w:val="false"/>
                <w:i w:val="false"/>
                <w:caps/>
                <w:color w:val="000000"/>
                <w:spacing w:val="0"/>
                <w:kern w:val="0"/>
                <w:sz w:val="20"/>
                <w:szCs w:val="20"/>
                <w:lang w:val="pt-BR" w:eastAsia="pt-BR" w:bidi="ar-SA"/>
              </w:rPr>
            </w:pPr>
            <w:r>
              <w:rPr>
                <w:rFonts w:eastAsia="Times New Roman" w:cs="Arial" w:ascii="Arial" w:hAnsi="Arial"/>
                <w:b w:val="false"/>
                <w:bCs/>
                <w:i w:val="false"/>
                <w:caps/>
                <w:color w:val="000000"/>
                <w:spacing w:val="0"/>
                <w:kern w:val="0"/>
                <w:sz w:val="20"/>
                <w:szCs w:val="20"/>
                <w:lang w:val="pt-BR" w:eastAsia="pt-BR" w:bidi="ar-SA"/>
              </w:rPr>
              <w:t>24</w:t>
            </w:r>
          </w:p>
        </w:tc>
        <w:tc>
          <w:tcPr>
            <w:tcW w:w="1305" w:type="dxa"/>
            <w:tcBorders>
              <w:left w:val="single" w:sz="4" w:space="0" w:color="000000"/>
              <w:bottom w:val="single" w:sz="4" w:space="0" w:color="000000"/>
            </w:tcBorders>
          </w:tcPr>
          <w:p>
            <w:pPr>
              <w:pStyle w:val="Contedodatabela"/>
              <w:widowControl w:val="false"/>
              <w:jc w:val="center"/>
              <w:rPr>
                <w:rFonts w:ascii="Arial" w:hAnsi="Arial" w:eastAsia="Times New Roman" w:cs="Arial"/>
                <w:color w:val="000000"/>
                <w:kern w:val="0"/>
                <w:sz w:val="20"/>
                <w:szCs w:val="20"/>
                <w:lang w:val="pt-BR" w:eastAsia="pt-BR" w:bidi="ar-SA"/>
              </w:rPr>
            </w:pPr>
            <w:r>
              <w:rPr>
                <w:rFonts w:eastAsia="Times New Roman" w:cs="Arial" w:ascii="Arial" w:hAnsi="Arial"/>
                <w:color w:val="000000"/>
                <w:kern w:val="0"/>
                <w:sz w:val="20"/>
                <w:szCs w:val="20"/>
                <w:lang w:val="pt-BR" w:eastAsia="pt-BR" w:bidi="ar-SA"/>
              </w:rPr>
              <w:t>186,56</w:t>
            </w:r>
          </w:p>
        </w:tc>
        <w:tc>
          <w:tcPr>
            <w:tcW w:w="1256" w:type="dxa"/>
            <w:tcBorders>
              <w:left w:val="single" w:sz="4" w:space="0" w:color="000000"/>
              <w:bottom w:val="single" w:sz="4" w:space="0" w:color="000000"/>
              <w:right w:val="single" w:sz="4" w:space="0" w:color="000000"/>
            </w:tcBorders>
          </w:tcPr>
          <w:p>
            <w:pPr>
              <w:pStyle w:val="Contedodatabela"/>
              <w:widowControl w:val="false"/>
              <w:jc w:val="center"/>
              <w:rPr>
                <w:rFonts w:ascii="Arial" w:hAnsi="Arial" w:eastAsia="Times New Roman" w:cs="Arial"/>
                <w:color w:val="000000"/>
                <w:kern w:val="0"/>
                <w:sz w:val="20"/>
                <w:szCs w:val="20"/>
                <w:lang w:val="pt-BR" w:eastAsia="pt-BR" w:bidi="ar-SA"/>
              </w:rPr>
            </w:pPr>
            <w:r>
              <w:rPr>
                <w:rFonts w:eastAsia="Times New Roman" w:cs="Arial" w:ascii="Arial" w:hAnsi="Arial"/>
                <w:color w:val="000000"/>
                <w:kern w:val="0"/>
                <w:sz w:val="20"/>
                <w:szCs w:val="20"/>
                <w:lang w:val="pt-BR" w:eastAsia="pt-BR" w:bidi="ar-SA"/>
              </w:rPr>
              <w:t>4.477,44</w:t>
            </w:r>
          </w:p>
        </w:tc>
      </w:tr>
      <w:tr>
        <w:trPr/>
        <w:tc>
          <w:tcPr>
            <w:tcW w:w="1550" w:type="dxa"/>
            <w:vMerge w:val="continue"/>
            <w:tcBorders>
              <w:top w:val="single" w:sz="4" w:space="0" w:color="000000"/>
              <w:left w:val="single" w:sz="4" w:space="0" w:color="000000"/>
              <w:bottom w:val="single" w:sz="4" w:space="0" w:color="000000"/>
            </w:tcBorders>
          </w:tcPr>
          <w:p>
            <w:pPr>
              <w:pStyle w:val="Normal"/>
              <w:widowControl w:val="false"/>
              <w:suppressAutoHyphens w:val="true"/>
              <w:spacing w:lineRule="auto" w:line="276" w:before="0" w:after="120"/>
              <w:jc w:val="center"/>
              <w:rPr>
                <w:rFonts w:ascii="Arial" w:hAnsi="Arial" w:cs="Arial"/>
                <w:color w:val="000000"/>
                <w:sz w:val="20"/>
                <w:szCs w:val="20"/>
              </w:rPr>
            </w:pPr>
            <w:r>
              <w:rPr>
                <w:rFonts w:cs="Arial"/>
                <w:color w:val="000000"/>
                <w:sz w:val="20"/>
                <w:szCs w:val="20"/>
              </w:rPr>
            </w:r>
          </w:p>
        </w:tc>
        <w:tc>
          <w:tcPr>
            <w:tcW w:w="715"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ascii="Arial" w:hAnsi="Arial" w:cs="Arial"/>
                <w:color w:val="000000"/>
                <w:sz w:val="20"/>
                <w:szCs w:val="20"/>
              </w:rPr>
            </w:pPr>
            <w:r>
              <w:rPr>
                <w:rFonts w:cs="Arial"/>
                <w:color w:val="000000"/>
                <w:sz w:val="20"/>
                <w:szCs w:val="20"/>
              </w:rPr>
              <w:t>16</w:t>
            </w:r>
          </w:p>
        </w:tc>
        <w:tc>
          <w:tcPr>
            <w:tcW w:w="2984" w:type="dxa"/>
            <w:tcBorders>
              <w:left w:val="single" w:sz="4" w:space="0" w:color="000000"/>
              <w:bottom w:val="single" w:sz="4" w:space="0" w:color="000000"/>
              <w:right w:val="single" w:sz="4" w:space="0" w:color="000000"/>
            </w:tcBorders>
          </w:tcPr>
          <w:p>
            <w:pPr>
              <w:pStyle w:val="Contedodatabela"/>
              <w:widowControl w:val="false"/>
              <w:jc w:val="both"/>
              <w:rPr>
                <w:rFonts w:ascii="Arial" w:hAnsi="Arial"/>
                <w:color w:val="000000"/>
                <w:sz w:val="20"/>
                <w:szCs w:val="20"/>
              </w:rPr>
            </w:pPr>
            <w:r>
              <w:rPr>
                <w:rFonts w:eastAsia="SimSun;宋体" w:cs="Open Sans;sans-serif" w:ascii="Arial" w:hAnsi="Arial"/>
                <w:b w:val="false"/>
                <w:bCs/>
                <w:i w:val="false"/>
                <w:caps/>
                <w:color w:val="000000"/>
                <w:spacing w:val="0"/>
                <w:kern w:val="2"/>
                <w:sz w:val="20"/>
                <w:szCs w:val="20"/>
                <w:lang w:val="pt-BR" w:eastAsia="zh-CN" w:bidi="hi-IN"/>
              </w:rPr>
              <w:t>CORRESPONDÊNCIAS AGRUPADAS (MALOTE)- ACIMA DE 3 ATÉ 4 KG.</w:t>
            </w:r>
          </w:p>
        </w:tc>
        <w:tc>
          <w:tcPr>
            <w:tcW w:w="1132"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ascii="Arial" w:hAnsi="Arial" w:eastAsia="Times New Roman" w:cs="Arial"/>
                <w:color w:val="000000"/>
                <w:kern w:val="0"/>
                <w:sz w:val="20"/>
                <w:szCs w:val="20"/>
                <w:lang w:val="pt-BR" w:eastAsia="pt-BR" w:bidi="ar-SA"/>
              </w:rPr>
            </w:pPr>
            <w:r>
              <w:rPr>
                <w:rFonts w:eastAsia="Times New Roman" w:cs="Arial"/>
                <w:color w:val="000000"/>
                <w:kern w:val="0"/>
                <w:sz w:val="20"/>
                <w:szCs w:val="20"/>
                <w:lang w:val="pt-BR" w:eastAsia="pt-BR" w:bidi="ar-SA"/>
              </w:rPr>
              <w:t>Unidade</w:t>
            </w:r>
          </w:p>
        </w:tc>
        <w:tc>
          <w:tcPr>
            <w:tcW w:w="1133" w:type="dxa"/>
            <w:tcBorders>
              <w:left w:val="single" w:sz="4" w:space="0" w:color="000000"/>
              <w:bottom w:val="single" w:sz="4" w:space="0" w:color="000000"/>
              <w:right w:val="single" w:sz="4" w:space="0" w:color="000000"/>
            </w:tcBorders>
          </w:tcPr>
          <w:p>
            <w:pPr>
              <w:pStyle w:val="Contedodatabela"/>
              <w:widowControl w:val="false"/>
              <w:jc w:val="center"/>
              <w:rPr>
                <w:rFonts w:ascii="Arial" w:hAnsi="Arial" w:eastAsia="Times New Roman" w:cs="Arial"/>
                <w:b w:val="false"/>
                <w:b w:val="false"/>
                <w:bCs/>
                <w:i w:val="false"/>
                <w:i w:val="false"/>
                <w:caps/>
                <w:color w:val="000000"/>
                <w:spacing w:val="0"/>
                <w:kern w:val="0"/>
                <w:sz w:val="20"/>
                <w:szCs w:val="20"/>
                <w:lang w:val="pt-BR" w:eastAsia="pt-BR" w:bidi="ar-SA"/>
              </w:rPr>
            </w:pPr>
            <w:r>
              <w:rPr>
                <w:rFonts w:eastAsia="Times New Roman" w:cs="Arial" w:ascii="Arial" w:hAnsi="Arial"/>
                <w:b w:val="false"/>
                <w:bCs/>
                <w:i w:val="false"/>
                <w:caps/>
                <w:color w:val="000000"/>
                <w:spacing w:val="0"/>
                <w:kern w:val="0"/>
                <w:sz w:val="20"/>
                <w:szCs w:val="20"/>
                <w:lang w:val="pt-BR" w:eastAsia="pt-BR" w:bidi="ar-SA"/>
              </w:rPr>
              <w:t>24</w:t>
            </w:r>
          </w:p>
        </w:tc>
        <w:tc>
          <w:tcPr>
            <w:tcW w:w="1305" w:type="dxa"/>
            <w:tcBorders>
              <w:left w:val="single" w:sz="4" w:space="0" w:color="000000"/>
              <w:bottom w:val="single" w:sz="4" w:space="0" w:color="000000"/>
            </w:tcBorders>
          </w:tcPr>
          <w:p>
            <w:pPr>
              <w:pStyle w:val="Contedodatabela"/>
              <w:widowControl w:val="false"/>
              <w:jc w:val="center"/>
              <w:rPr>
                <w:rFonts w:ascii="Arial" w:hAnsi="Arial" w:eastAsia="Times New Roman" w:cs="Arial"/>
                <w:color w:val="000000"/>
                <w:kern w:val="0"/>
                <w:sz w:val="20"/>
                <w:szCs w:val="20"/>
                <w:lang w:val="pt-BR" w:eastAsia="pt-BR" w:bidi="ar-SA"/>
              </w:rPr>
            </w:pPr>
            <w:r>
              <w:rPr>
                <w:rFonts w:eastAsia="Times New Roman" w:cs="Arial" w:ascii="Arial" w:hAnsi="Arial"/>
                <w:color w:val="000000"/>
                <w:kern w:val="0"/>
                <w:sz w:val="20"/>
                <w:szCs w:val="20"/>
                <w:lang w:val="pt-BR" w:eastAsia="pt-BR" w:bidi="ar-SA"/>
              </w:rPr>
              <w:t>207,04</w:t>
            </w:r>
          </w:p>
        </w:tc>
        <w:tc>
          <w:tcPr>
            <w:tcW w:w="1256" w:type="dxa"/>
            <w:tcBorders>
              <w:left w:val="single" w:sz="4" w:space="0" w:color="000000"/>
              <w:bottom w:val="single" w:sz="4" w:space="0" w:color="000000"/>
              <w:right w:val="single" w:sz="4" w:space="0" w:color="000000"/>
            </w:tcBorders>
          </w:tcPr>
          <w:p>
            <w:pPr>
              <w:pStyle w:val="Contedodatabela"/>
              <w:widowControl w:val="false"/>
              <w:jc w:val="center"/>
              <w:rPr>
                <w:rFonts w:ascii="Arial" w:hAnsi="Arial" w:eastAsia="Times New Roman" w:cs="Arial"/>
                <w:color w:val="000000"/>
                <w:kern w:val="0"/>
                <w:sz w:val="20"/>
                <w:szCs w:val="20"/>
                <w:lang w:val="pt-BR" w:eastAsia="pt-BR" w:bidi="ar-SA"/>
              </w:rPr>
            </w:pPr>
            <w:r>
              <w:rPr>
                <w:rFonts w:eastAsia="Times New Roman" w:cs="Arial" w:ascii="Arial" w:hAnsi="Arial"/>
                <w:color w:val="000000"/>
                <w:kern w:val="0"/>
                <w:sz w:val="20"/>
                <w:szCs w:val="20"/>
                <w:lang w:val="pt-BR" w:eastAsia="pt-BR" w:bidi="ar-SA"/>
              </w:rPr>
              <w:t>4.968,96</w:t>
            </w:r>
          </w:p>
        </w:tc>
      </w:tr>
      <w:tr>
        <w:trPr/>
        <w:tc>
          <w:tcPr>
            <w:tcW w:w="8819" w:type="dxa"/>
            <w:gridSpan w:val="6"/>
            <w:tcBorders>
              <w:left w:val="single" w:sz="4" w:space="0" w:color="000000"/>
              <w:bottom w:val="single" w:sz="4" w:space="0" w:color="000000"/>
            </w:tcBorders>
            <w:shd w:fill="77BC65" w:val="clear"/>
          </w:tcPr>
          <w:p>
            <w:pPr>
              <w:pStyle w:val="Normal"/>
              <w:widowControl w:val="false"/>
              <w:suppressAutoHyphens w:val="true"/>
              <w:spacing w:lineRule="auto" w:line="276" w:before="0" w:after="120"/>
              <w:jc w:val="center"/>
              <w:rPr>
                <w:rFonts w:eastAsia="Times New Roman" w:cs="Arial"/>
                <w:b/>
                <w:b/>
                <w:bCs/>
                <w:color w:val="000000"/>
                <w:kern w:val="0"/>
                <w:sz w:val="20"/>
                <w:szCs w:val="20"/>
                <w:lang w:val="pt-BR" w:eastAsia="pt-BR" w:bidi="ar-SA"/>
              </w:rPr>
            </w:pPr>
            <w:r>
              <w:rPr>
                <w:rFonts w:eastAsia="Times New Roman" w:cs="Arial"/>
                <w:b/>
                <w:bCs/>
                <w:color w:val="000000"/>
                <w:kern w:val="0"/>
                <w:sz w:val="20"/>
                <w:szCs w:val="20"/>
                <w:lang w:val="pt-BR" w:eastAsia="pt-BR" w:bidi="ar-SA"/>
              </w:rPr>
              <w:t>Valor Global Anual R$</w:t>
            </w:r>
          </w:p>
        </w:tc>
        <w:tc>
          <w:tcPr>
            <w:tcW w:w="1256" w:type="dxa"/>
            <w:tcBorders>
              <w:left w:val="single" w:sz="4" w:space="0" w:color="000000"/>
              <w:bottom w:val="single" w:sz="4" w:space="0" w:color="000000"/>
              <w:right w:val="single" w:sz="4" w:space="0" w:color="000000"/>
            </w:tcBorders>
            <w:shd w:fill="FFFF38" w:val="clear"/>
          </w:tcPr>
          <w:p>
            <w:pPr>
              <w:pStyle w:val="Normal"/>
              <w:widowControl w:val="false"/>
              <w:suppressAutoHyphens w:val="true"/>
              <w:spacing w:lineRule="auto" w:line="276" w:before="0" w:after="120"/>
              <w:rPr>
                <w:rFonts w:eastAsia="Times New Roman" w:cs="Arial"/>
                <w:b/>
                <w:b/>
                <w:bCs/>
                <w:color w:val="000000"/>
                <w:kern w:val="0"/>
                <w:sz w:val="20"/>
                <w:szCs w:val="20"/>
                <w:lang w:val="pt-BR" w:eastAsia="pt-BR" w:bidi="ar-SA"/>
              </w:rPr>
            </w:pPr>
            <w:r>
              <w:rPr>
                <w:rFonts w:eastAsia="Times New Roman" w:cs="Arial"/>
                <w:b/>
                <w:bCs/>
                <w:color w:val="000000"/>
                <w:kern w:val="0"/>
                <w:sz w:val="20"/>
                <w:szCs w:val="20"/>
                <w:lang w:val="pt-BR" w:eastAsia="pt-BR" w:bidi="ar-SA"/>
              </w:rPr>
              <w:t>22.455,36</w:t>
            </w:r>
          </w:p>
        </w:tc>
      </w:tr>
      <w:tr>
        <w:trPr/>
        <w:tc>
          <w:tcPr>
            <w:tcW w:w="8819" w:type="dxa"/>
            <w:gridSpan w:val="6"/>
            <w:tcBorders>
              <w:left w:val="single" w:sz="4" w:space="0" w:color="000000"/>
              <w:bottom w:val="single" w:sz="4" w:space="0" w:color="000000"/>
            </w:tcBorders>
            <w:shd w:fill="77BC65" w:val="clear"/>
          </w:tcPr>
          <w:p>
            <w:pPr>
              <w:pStyle w:val="Normal"/>
              <w:widowControl w:val="false"/>
              <w:suppressAutoHyphens w:val="true"/>
              <w:spacing w:lineRule="auto" w:line="276" w:before="0" w:after="120"/>
              <w:jc w:val="center"/>
              <w:rPr>
                <w:rFonts w:eastAsia="Times New Roman" w:cs="Arial"/>
                <w:b/>
                <w:b/>
                <w:bCs/>
                <w:color w:val="000000"/>
                <w:kern w:val="0"/>
                <w:sz w:val="20"/>
                <w:szCs w:val="20"/>
                <w:shd w:fill="auto" w:val="clear"/>
                <w:lang w:val="pt-BR" w:eastAsia="pt-BR" w:bidi="ar-SA"/>
              </w:rPr>
            </w:pPr>
            <w:r>
              <w:rPr>
                <w:rFonts w:eastAsia="Times New Roman" w:cs="Arial"/>
                <w:b/>
                <w:bCs/>
                <w:color w:val="000000"/>
                <w:kern w:val="0"/>
                <w:sz w:val="20"/>
                <w:szCs w:val="20"/>
                <w:shd w:fill="auto" w:val="clear"/>
                <w:lang w:val="pt-BR" w:eastAsia="pt-BR" w:bidi="ar-SA"/>
              </w:rPr>
              <w:t>Quantidade Meses(Lançado no Comprasnet)</w:t>
            </w:r>
          </w:p>
        </w:tc>
        <w:tc>
          <w:tcPr>
            <w:tcW w:w="1256" w:type="dxa"/>
            <w:tcBorders>
              <w:left w:val="single" w:sz="4" w:space="0" w:color="000000"/>
              <w:bottom w:val="single" w:sz="4" w:space="0" w:color="000000"/>
              <w:right w:val="single" w:sz="4" w:space="0" w:color="000000"/>
            </w:tcBorders>
            <w:shd w:fill="FFFF38" w:val="clear"/>
          </w:tcPr>
          <w:p>
            <w:pPr>
              <w:pStyle w:val="Normal"/>
              <w:widowControl w:val="false"/>
              <w:suppressAutoHyphens w:val="true"/>
              <w:spacing w:lineRule="auto" w:line="276" w:before="0" w:after="120"/>
              <w:jc w:val="center"/>
              <w:rPr>
                <w:rFonts w:eastAsia="Times New Roman" w:cs="Arial"/>
                <w:b/>
                <w:b/>
                <w:bCs/>
                <w:color w:val="000000"/>
                <w:kern w:val="0"/>
                <w:sz w:val="20"/>
                <w:szCs w:val="20"/>
                <w:lang w:val="pt-BR" w:eastAsia="pt-BR" w:bidi="ar-SA"/>
              </w:rPr>
            </w:pPr>
            <w:r>
              <w:rPr>
                <w:rFonts w:eastAsia="Times New Roman" w:cs="Arial"/>
                <w:b/>
                <w:bCs/>
                <w:color w:val="000000"/>
                <w:kern w:val="0"/>
                <w:sz w:val="20"/>
                <w:szCs w:val="20"/>
                <w:lang w:val="pt-BR" w:eastAsia="pt-BR" w:bidi="ar-SA"/>
              </w:rPr>
              <w:t xml:space="preserve"> </w:t>
            </w:r>
            <w:r>
              <w:rPr>
                <w:rFonts w:eastAsia="Times New Roman" w:cs="Arial"/>
                <w:b/>
                <w:bCs/>
                <w:color w:val="000000"/>
                <w:kern w:val="0"/>
                <w:sz w:val="20"/>
                <w:szCs w:val="20"/>
                <w:lang w:val="pt-BR" w:eastAsia="pt-BR" w:bidi="ar-SA"/>
              </w:rPr>
              <w:t>12</w:t>
            </w:r>
          </w:p>
        </w:tc>
      </w:tr>
      <w:tr>
        <w:trPr>
          <w:trHeight w:val="510" w:hRule="atLeast"/>
        </w:trPr>
        <w:tc>
          <w:tcPr>
            <w:tcW w:w="8819" w:type="dxa"/>
            <w:gridSpan w:val="6"/>
            <w:tcBorders>
              <w:left w:val="single" w:sz="4" w:space="0" w:color="000000"/>
              <w:bottom w:val="single" w:sz="4" w:space="0" w:color="000000"/>
            </w:tcBorders>
            <w:shd w:fill="77BC65" w:val="clear"/>
          </w:tcPr>
          <w:p>
            <w:pPr>
              <w:pStyle w:val="Normal"/>
              <w:widowControl w:val="false"/>
              <w:suppressAutoHyphens w:val="true"/>
              <w:bidi w:val="0"/>
              <w:spacing w:lineRule="auto" w:line="276" w:before="0" w:after="120"/>
              <w:ind w:left="-113" w:right="0" w:hanging="0"/>
              <w:jc w:val="center"/>
              <w:rPr>
                <w:rFonts w:cs="Arial"/>
                <w:b/>
                <w:b/>
                <w:bCs/>
                <w:color w:val="000000"/>
                <w:sz w:val="20"/>
                <w:szCs w:val="20"/>
              </w:rPr>
            </w:pPr>
            <w:r>
              <w:rPr>
                <w:rFonts w:cs="Arial"/>
                <w:b/>
                <w:bCs/>
                <w:color w:val="000000"/>
                <w:sz w:val="20"/>
                <w:szCs w:val="20"/>
                <w:shd w:fill="auto" w:val="clear"/>
              </w:rPr>
              <w:t xml:space="preserve">Obs.: </w:t>
            </w:r>
            <w:r>
              <w:rPr>
                <w:rFonts w:eastAsia="Times New Roman" w:cs="Arial"/>
                <w:b/>
                <w:bCs/>
                <w:color w:val="000000"/>
                <w:kern w:val="0"/>
                <w:sz w:val="20"/>
                <w:szCs w:val="20"/>
                <w:shd w:fill="auto" w:val="clear"/>
                <w:lang w:val="pt-BR" w:eastAsia="pt-BR" w:bidi="ar-SA"/>
              </w:rPr>
              <w:t>Valor Global Mensal R$(</w:t>
            </w:r>
            <w:r>
              <w:rPr>
                <w:rFonts w:cs="Arial"/>
                <w:b/>
                <w:bCs/>
                <w:color w:val="000000"/>
                <w:sz w:val="20"/>
                <w:szCs w:val="20"/>
                <w:shd w:fill="auto" w:val="clear"/>
              </w:rPr>
              <w:t>Lançado no Comprasnet)</w:t>
            </w:r>
          </w:p>
        </w:tc>
        <w:tc>
          <w:tcPr>
            <w:tcW w:w="1256" w:type="dxa"/>
            <w:tcBorders>
              <w:left w:val="single" w:sz="4" w:space="0" w:color="000000"/>
              <w:bottom w:val="single" w:sz="4" w:space="0" w:color="000000"/>
              <w:right w:val="single" w:sz="4" w:space="0" w:color="000000"/>
            </w:tcBorders>
            <w:shd w:fill="FFFF38" w:val="clear"/>
          </w:tcPr>
          <w:p>
            <w:pPr>
              <w:pStyle w:val="Normal"/>
              <w:widowControl w:val="false"/>
              <w:suppressAutoHyphens w:val="true"/>
              <w:spacing w:lineRule="auto" w:line="276" w:before="0" w:after="120"/>
              <w:rPr>
                <w:rFonts w:eastAsia="Times New Roman" w:cs="Arial"/>
                <w:b/>
                <w:b/>
                <w:bCs/>
                <w:color w:val="000000"/>
                <w:kern w:val="0"/>
                <w:sz w:val="20"/>
                <w:szCs w:val="20"/>
                <w:lang w:val="pt-BR" w:eastAsia="pt-BR" w:bidi="ar-SA"/>
              </w:rPr>
            </w:pPr>
            <w:r>
              <w:rPr>
                <w:rFonts w:eastAsia="Times New Roman" w:cs="Arial"/>
                <w:b/>
                <w:bCs/>
                <w:color w:val="000000"/>
                <w:kern w:val="0"/>
                <w:sz w:val="20"/>
                <w:szCs w:val="20"/>
                <w:lang w:val="pt-BR" w:eastAsia="pt-BR" w:bidi="ar-SA"/>
              </w:rPr>
              <w:t>1.871,28</w:t>
            </w:r>
          </w:p>
        </w:tc>
      </w:tr>
    </w:tbl>
    <w:p>
      <w:pPr>
        <w:pStyle w:val="Normal"/>
        <w:spacing w:lineRule="auto" w:line="276" w:before="0" w:after="120"/>
        <w:jc w:val="both"/>
        <w:rPr>
          <w:rFonts w:cs="Arial"/>
          <w:color w:val="000000"/>
          <w:szCs w:val="20"/>
        </w:rPr>
      </w:pPr>
      <w:r>
        <w:rPr>
          <w:rFonts w:cs="Arial"/>
          <w:color w:val="000000"/>
          <w:szCs w:val="20"/>
        </w:rPr>
      </w:r>
    </w:p>
    <w:p>
      <w:pPr>
        <w:pStyle w:val="Normal"/>
        <w:numPr>
          <w:ilvl w:val="1"/>
          <w:numId w:val="168"/>
        </w:numPr>
        <w:spacing w:lineRule="auto" w:line="276" w:before="120" w:after="120"/>
        <w:jc w:val="both"/>
        <w:rPr>
          <w:sz w:val="21"/>
          <w:szCs w:val="21"/>
        </w:rPr>
      </w:pPr>
      <w:r>
        <w:rPr>
          <w:rFonts w:cs="Arial"/>
          <w:sz w:val="21"/>
          <w:szCs w:val="21"/>
        </w:rPr>
        <w:t>O objeto da licitação tem a natureza de serviço comum de</w:t>
      </w:r>
      <w:r>
        <w:rPr>
          <w:rFonts w:eastAsia="Times New Roman" w:cs="Arial"/>
          <w:color w:val="auto"/>
          <w:kern w:val="0"/>
          <w:sz w:val="21"/>
          <w:szCs w:val="21"/>
          <w:lang w:val="pt-BR" w:eastAsia="pt-BR" w:bidi="ar-SA"/>
        </w:rPr>
        <w:t xml:space="preserve"> </w:t>
      </w:r>
      <w:r>
        <w:rPr>
          <w:rFonts w:eastAsia="Times New Roman" w:cs="Arial"/>
          <w:b w:val="false"/>
          <w:i w:val="false"/>
          <w:caps/>
          <w:color w:val="auto"/>
          <w:spacing w:val="0"/>
          <w:kern w:val="0"/>
          <w:sz w:val="21"/>
          <w:szCs w:val="21"/>
          <w:lang w:val="pt-BR" w:eastAsia="pt-BR" w:bidi="ar-SA"/>
        </w:rPr>
        <w:t>contratação direta, por inexigibilidade de licitação, da empresa brasileira de correios e telégrafos – ect, para a prestação de serviços postais de natureza exclusiva, sob regime de monopólio, em observância ao art. 9º da lei 6.538, de 22 de junho de 1978</w:t>
      </w:r>
      <w:r>
        <w:rPr>
          <w:rFonts w:eastAsia="Times New Roman" w:cs="Arial"/>
          <w:b w:val="false"/>
          <w:i/>
          <w:caps/>
          <w:color w:val="auto"/>
          <w:spacing w:val="0"/>
          <w:kern w:val="0"/>
          <w:sz w:val="21"/>
          <w:szCs w:val="21"/>
          <w:lang w:val="pt-BR" w:eastAsia="pt-BR" w:bidi="ar-SA"/>
        </w:rPr>
        <w:t xml:space="preserve">. </w:t>
      </w:r>
    </w:p>
    <w:p>
      <w:pPr>
        <w:pStyle w:val="Normal"/>
        <w:numPr>
          <w:ilvl w:val="1"/>
          <w:numId w:val="169"/>
        </w:numPr>
        <w:spacing w:lineRule="auto" w:line="276" w:before="120" w:after="120"/>
        <w:jc w:val="both"/>
        <w:rPr>
          <w:sz w:val="21"/>
          <w:szCs w:val="21"/>
        </w:rPr>
      </w:pPr>
      <w:r>
        <w:rPr>
          <w:rFonts w:cs="Arial"/>
          <w:i w:val="false"/>
          <w:iCs w:val="false"/>
          <w:sz w:val="21"/>
          <w:szCs w:val="21"/>
        </w:rPr>
        <w:t>Os quantitativos e respectivos códigos dos itens são os discriminados na tabela acima.</w:t>
      </w:r>
    </w:p>
    <w:p>
      <w:pPr>
        <w:pStyle w:val="Normal"/>
        <w:numPr>
          <w:ilvl w:val="0"/>
          <w:numId w:val="0"/>
        </w:numPr>
        <w:spacing w:lineRule="auto" w:line="276" w:before="120" w:after="120"/>
        <w:ind w:left="1440" w:hanging="0"/>
        <w:jc w:val="both"/>
        <w:rPr>
          <w:sz w:val="21"/>
          <w:szCs w:val="21"/>
        </w:rPr>
      </w:pPr>
      <w:r>
        <w:rPr>
          <w:rFonts w:eastAsia="Times New Roman" w:cs="Arial"/>
          <w:b w:val="false"/>
          <w:bCs w:val="false"/>
          <w:i w:val="false"/>
          <w:iCs w:val="false"/>
          <w:color w:val="auto"/>
          <w:kern w:val="0"/>
          <w:sz w:val="21"/>
          <w:szCs w:val="21"/>
          <w:lang w:val="pt-BR" w:eastAsia="pt-BR" w:bidi="ar-SA"/>
        </w:rPr>
        <w:t xml:space="preserve">1.3.1. Caso algum dos quantitativos de serviços dimensionados na tabela acima e no Documento de Formalização da Demanda(DFD) sejam insuficientes para o período de 12(doze) meses, o IFSertãoPE/Reitoria poderá utilizar os quantitativos dos demais itens que estiverem com saldo ou ainda </w:t>
      </w:r>
      <w:r>
        <w:rPr>
          <w:rFonts w:eastAsia="Times New Roman" w:cs="Arial"/>
          <w:b w:val="false"/>
          <w:bCs w:val="false"/>
          <w:i w:val="false"/>
          <w:iCs w:val="false"/>
          <w:color w:val="auto"/>
          <w:spacing w:val="0"/>
          <w:kern w:val="0"/>
          <w:sz w:val="21"/>
          <w:szCs w:val="21"/>
          <w:lang w:val="pt-BR" w:eastAsia="pt-BR" w:bidi="ar-SA"/>
        </w:rPr>
        <w:t>acrescentar quantitativamente até 25%(vinte e cinco por cento) sobre o valor inicial atualizado do contrato.</w:t>
      </w:r>
    </w:p>
    <w:p>
      <w:pPr>
        <w:pStyle w:val="Normal"/>
        <w:numPr>
          <w:ilvl w:val="0"/>
          <w:numId w:val="0"/>
        </w:numPr>
        <w:spacing w:lineRule="auto" w:line="276" w:before="120" w:after="120"/>
        <w:ind w:left="1440" w:hanging="0"/>
        <w:jc w:val="both"/>
        <w:rPr>
          <w:sz w:val="21"/>
          <w:szCs w:val="21"/>
        </w:rPr>
      </w:pPr>
      <w:r>
        <w:rPr>
          <w:rFonts w:eastAsia="Times New Roman" w:cs="Arial"/>
          <w:b w:val="false"/>
          <w:bCs w:val="false"/>
          <w:i w:val="false"/>
          <w:iCs w:val="false"/>
          <w:color w:val="auto"/>
          <w:spacing w:val="0"/>
          <w:kern w:val="0"/>
          <w:sz w:val="21"/>
          <w:szCs w:val="21"/>
          <w:lang w:val="pt-BR" w:eastAsia="pt-BR" w:bidi="ar-SA"/>
        </w:rPr>
        <w:t xml:space="preserve">1.3.2 O IFSertãoPE  pode ainda autorizar os serviços de CAIXA POSTAL, que não estão descritos na tabela acima, caso surja necessidade. </w:t>
      </w:r>
    </w:p>
    <w:p>
      <w:pPr>
        <w:pStyle w:val="Normal"/>
        <w:numPr>
          <w:ilvl w:val="1"/>
          <w:numId w:val="170"/>
        </w:numPr>
        <w:spacing w:lineRule="auto" w:line="276" w:before="120" w:after="120"/>
        <w:jc w:val="both"/>
        <w:rPr>
          <w:sz w:val="21"/>
          <w:szCs w:val="21"/>
        </w:rPr>
      </w:pPr>
      <w:r>
        <w:rPr>
          <w:rFonts w:cs="Arial"/>
          <w:i w:val="false"/>
          <w:iCs w:val="false"/>
          <w:color w:val="000000"/>
          <w:sz w:val="21"/>
          <w:szCs w:val="21"/>
        </w:rPr>
        <w:t>A presente contratação adotará como regime de execuç</w:t>
      </w:r>
      <w:r>
        <w:rPr>
          <w:rFonts w:eastAsia="Times New Roman" w:cs="Arial"/>
          <w:i w:val="false"/>
          <w:iCs w:val="false"/>
          <w:color w:val="000000"/>
          <w:kern w:val="0"/>
          <w:sz w:val="21"/>
          <w:szCs w:val="21"/>
          <w:lang w:val="pt-BR" w:eastAsia="pt-BR" w:bidi="ar-SA"/>
        </w:rPr>
        <w:t>ão a Empreitada por Preço  Global.</w:t>
      </w:r>
    </w:p>
    <w:p>
      <w:pPr>
        <w:pStyle w:val="Normal"/>
        <w:numPr>
          <w:ilvl w:val="1"/>
          <w:numId w:val="171"/>
        </w:numPr>
        <w:spacing w:lineRule="auto" w:line="276" w:before="120" w:after="120"/>
        <w:jc w:val="both"/>
        <w:rPr>
          <w:sz w:val="21"/>
          <w:szCs w:val="21"/>
        </w:rPr>
      </w:pPr>
      <w:r>
        <w:rPr>
          <w:rFonts w:cs="Times New Roman"/>
          <w:i w:val="false"/>
          <w:iCs w:val="false"/>
          <w:color w:val="000000"/>
          <w:sz w:val="21"/>
          <w:szCs w:val="21"/>
        </w:rPr>
        <w:t>O prazo de vigência do contrato é de 60 (sessenta) meses,</w:t>
      </w:r>
      <w:r>
        <w:rPr>
          <w:i w:val="false"/>
          <w:iCs w:val="false"/>
          <w:color w:val="000000"/>
          <w:sz w:val="21"/>
          <w:szCs w:val="21"/>
        </w:rPr>
        <w:t xml:space="preserve"> </w:t>
      </w:r>
      <w:r>
        <w:rPr>
          <w:rFonts w:cs="Times New Roman"/>
          <w:i w:val="false"/>
          <w:iCs w:val="false"/>
          <w:color w:val="000000"/>
          <w:sz w:val="21"/>
          <w:szCs w:val="21"/>
        </w:rPr>
        <w:t>não sendo prorrogável na forma do art.</w:t>
      </w:r>
      <w:r>
        <w:rPr>
          <w:i w:val="false"/>
          <w:iCs w:val="false"/>
          <w:color w:val="000000"/>
          <w:sz w:val="21"/>
          <w:szCs w:val="21"/>
        </w:rPr>
        <w:t xml:space="preserve"> 57, </w:t>
      </w:r>
      <w:r>
        <w:rPr>
          <w:rFonts w:cs="Times New Roman"/>
          <w:i w:val="false"/>
          <w:iCs w:val="false"/>
          <w:color w:val="000000"/>
          <w:sz w:val="21"/>
          <w:szCs w:val="21"/>
        </w:rPr>
        <w:t>II</w:t>
      </w:r>
      <w:r>
        <w:rPr>
          <w:i w:val="false"/>
          <w:iCs w:val="false"/>
          <w:color w:val="000000"/>
          <w:sz w:val="21"/>
          <w:szCs w:val="21"/>
        </w:rPr>
        <w:t xml:space="preserve">, da Lei </w:t>
      </w:r>
      <w:r>
        <w:rPr>
          <w:rFonts w:cs="Times New Roman"/>
          <w:i w:val="false"/>
          <w:iCs w:val="false"/>
          <w:color w:val="000000"/>
          <w:sz w:val="21"/>
          <w:szCs w:val="21"/>
        </w:rPr>
        <w:t>de Licitações.</w:t>
      </w:r>
    </w:p>
    <w:p>
      <w:pPr>
        <w:pStyle w:val="Normal"/>
        <w:numPr>
          <w:ilvl w:val="1"/>
          <w:numId w:val="172"/>
        </w:numPr>
        <w:spacing w:lineRule="auto" w:line="276" w:before="120" w:after="120"/>
        <w:jc w:val="both"/>
        <w:rPr>
          <w:sz w:val="21"/>
          <w:szCs w:val="21"/>
        </w:rPr>
      </w:pPr>
      <w:r>
        <w:rPr>
          <w:rFonts w:cs="Times New Roman"/>
          <w:i w:val="false"/>
          <w:iCs w:val="false"/>
          <w:color w:val="000000"/>
          <w:sz w:val="21"/>
          <w:szCs w:val="21"/>
        </w:rPr>
        <w:t xml:space="preserve">As Unidades do IFSertãoPE que utilizarão os produtos e serviços por meio do Pacote de Serviços dos CORREIOS serão: </w:t>
      </w:r>
    </w:p>
    <w:tbl>
      <w:tblPr>
        <w:tblW w:w="9495" w:type="dxa"/>
        <w:jc w:val="left"/>
        <w:tblInd w:w="-398" w:type="dxa"/>
        <w:tblLayout w:type="fixed"/>
        <w:tblCellMar>
          <w:top w:w="28" w:type="dxa"/>
          <w:left w:w="28" w:type="dxa"/>
          <w:bottom w:w="28" w:type="dxa"/>
          <w:right w:w="28" w:type="dxa"/>
        </w:tblCellMar>
      </w:tblPr>
      <w:tblGrid>
        <w:gridCol w:w="2835"/>
        <w:gridCol w:w="1137"/>
        <w:gridCol w:w="5523"/>
      </w:tblGrid>
      <w:tr>
        <w:trPr/>
        <w:tc>
          <w:tcPr>
            <w:tcW w:w="2835" w:type="dxa"/>
            <w:tcBorders>
              <w:top w:val="single" w:sz="2" w:space="0" w:color="000000"/>
              <w:left w:val="single" w:sz="2" w:space="0" w:color="000000"/>
              <w:bottom w:val="single" w:sz="2" w:space="0" w:color="000000"/>
            </w:tcBorders>
          </w:tcPr>
          <w:p>
            <w:pPr>
              <w:pStyle w:val="Contedodatabela"/>
              <w:widowControl w:val="false"/>
              <w:jc w:val="center"/>
              <w:rPr>
                <w:rFonts w:ascii="Arial" w:hAnsi="Arial" w:eastAsia="Times New Roman" w:cs="Arial"/>
                <w:b/>
                <w:b/>
                <w:bCs/>
                <w:i w:val="false"/>
                <w:i w:val="false"/>
                <w:iCs w:val="false"/>
                <w:color w:val="000000"/>
                <w:kern w:val="0"/>
                <w:sz w:val="21"/>
                <w:szCs w:val="21"/>
                <w:lang w:val="pt-BR" w:eastAsia="pt-BR" w:bidi="ar-SA"/>
              </w:rPr>
            </w:pPr>
            <w:r>
              <w:rPr>
                <w:rFonts w:eastAsia="Times New Roman" w:cs="Arial" w:ascii="Arial" w:hAnsi="Arial"/>
                <w:b/>
                <w:bCs/>
                <w:i w:val="false"/>
                <w:iCs w:val="false"/>
                <w:color w:val="000000"/>
                <w:kern w:val="0"/>
                <w:sz w:val="21"/>
                <w:szCs w:val="21"/>
                <w:lang w:val="pt-BR" w:eastAsia="pt-BR" w:bidi="ar-SA"/>
              </w:rPr>
              <w:t>Unidade</w:t>
            </w:r>
          </w:p>
        </w:tc>
        <w:tc>
          <w:tcPr>
            <w:tcW w:w="1137" w:type="dxa"/>
            <w:tcBorders>
              <w:top w:val="single" w:sz="2" w:space="0" w:color="000000"/>
              <w:left w:val="single" w:sz="2" w:space="0" w:color="000000"/>
              <w:bottom w:val="single" w:sz="2" w:space="0" w:color="000000"/>
            </w:tcBorders>
          </w:tcPr>
          <w:p>
            <w:pPr>
              <w:pStyle w:val="Contedodatabela"/>
              <w:widowControl w:val="false"/>
              <w:jc w:val="center"/>
              <w:rPr>
                <w:rFonts w:ascii="Arial" w:hAnsi="Arial" w:eastAsia="Times New Roman" w:cs="Arial"/>
                <w:b/>
                <w:b/>
                <w:bCs/>
                <w:i w:val="false"/>
                <w:i w:val="false"/>
                <w:iCs w:val="false"/>
                <w:color w:val="000000"/>
                <w:kern w:val="0"/>
                <w:sz w:val="21"/>
                <w:szCs w:val="21"/>
                <w:lang w:val="pt-BR" w:eastAsia="pt-BR" w:bidi="ar-SA"/>
              </w:rPr>
            </w:pPr>
            <w:r>
              <w:rPr>
                <w:rFonts w:eastAsia="Times New Roman" w:cs="Arial" w:ascii="Arial" w:hAnsi="Arial"/>
                <w:b/>
                <w:bCs/>
                <w:i w:val="false"/>
                <w:iCs w:val="false"/>
                <w:color w:val="000000"/>
                <w:kern w:val="0"/>
                <w:sz w:val="21"/>
                <w:szCs w:val="21"/>
                <w:lang w:val="pt-BR" w:eastAsia="pt-BR" w:bidi="ar-SA"/>
              </w:rPr>
              <w:t>UASG</w:t>
            </w:r>
          </w:p>
        </w:tc>
        <w:tc>
          <w:tcPr>
            <w:tcW w:w="5523" w:type="dxa"/>
            <w:tcBorders>
              <w:top w:val="single" w:sz="2" w:space="0" w:color="000000"/>
              <w:left w:val="single" w:sz="2" w:space="0" w:color="000000"/>
              <w:bottom w:val="single" w:sz="2" w:space="0" w:color="000000"/>
              <w:right w:val="single" w:sz="2" w:space="0" w:color="000000"/>
            </w:tcBorders>
          </w:tcPr>
          <w:p>
            <w:pPr>
              <w:pStyle w:val="Contedodatabela"/>
              <w:widowControl w:val="false"/>
              <w:jc w:val="center"/>
              <w:rPr>
                <w:rFonts w:ascii="Arial" w:hAnsi="Arial" w:eastAsia="Times New Roman" w:cs="Arial"/>
                <w:b/>
                <w:b/>
                <w:bCs/>
                <w:i w:val="false"/>
                <w:i w:val="false"/>
                <w:iCs w:val="false"/>
                <w:color w:val="000000"/>
                <w:kern w:val="0"/>
                <w:sz w:val="21"/>
                <w:szCs w:val="21"/>
                <w:lang w:val="pt-BR" w:eastAsia="pt-BR" w:bidi="ar-SA"/>
              </w:rPr>
            </w:pPr>
            <w:r>
              <w:rPr>
                <w:rFonts w:eastAsia="Times New Roman" w:cs="Arial" w:ascii="Arial" w:hAnsi="Arial"/>
                <w:b/>
                <w:bCs/>
                <w:i w:val="false"/>
                <w:iCs w:val="false"/>
                <w:color w:val="000000"/>
                <w:kern w:val="0"/>
                <w:sz w:val="21"/>
                <w:szCs w:val="21"/>
                <w:lang w:val="pt-BR" w:eastAsia="pt-BR" w:bidi="ar-SA"/>
              </w:rPr>
              <w:t>Endereço</w:t>
            </w:r>
          </w:p>
        </w:tc>
      </w:tr>
      <w:tr>
        <w:trPr/>
        <w:tc>
          <w:tcPr>
            <w:tcW w:w="2835" w:type="dxa"/>
            <w:tcBorders>
              <w:left w:val="single" w:sz="2" w:space="0" w:color="000000"/>
              <w:bottom w:val="single" w:sz="2" w:space="0" w:color="000000"/>
            </w:tcBorders>
          </w:tcPr>
          <w:p>
            <w:pPr>
              <w:pStyle w:val="Contedodatabela"/>
              <w:widowControl w:val="false"/>
              <w:rPr>
                <w:rFonts w:ascii="Arial" w:hAnsi="Arial" w:eastAsia="Times New Roman" w:cs="Arial"/>
                <w:b w:val="false"/>
                <w:b w:val="false"/>
                <w:bCs w:val="false"/>
                <w:i w:val="false"/>
                <w:i w:val="false"/>
                <w:iCs w:val="false"/>
                <w:color w:val="000000"/>
                <w:kern w:val="0"/>
                <w:sz w:val="21"/>
                <w:szCs w:val="21"/>
                <w:lang w:val="pt-BR" w:eastAsia="pt-BR" w:bidi="ar-SA"/>
              </w:rPr>
            </w:pPr>
            <w:r>
              <w:rPr>
                <w:rFonts w:eastAsia="Times New Roman" w:cs="Arial" w:ascii="Arial" w:hAnsi="Arial"/>
                <w:b w:val="false"/>
                <w:bCs w:val="false"/>
                <w:i w:val="false"/>
                <w:iCs w:val="false"/>
                <w:color w:val="000000"/>
                <w:kern w:val="0"/>
                <w:sz w:val="21"/>
                <w:szCs w:val="21"/>
                <w:lang w:val="pt-BR" w:eastAsia="pt-BR" w:bidi="ar-SA"/>
              </w:rPr>
              <w:t>Reitoria(Gerenciadora do contrato)</w:t>
            </w:r>
          </w:p>
        </w:tc>
        <w:tc>
          <w:tcPr>
            <w:tcW w:w="1137" w:type="dxa"/>
            <w:tcBorders>
              <w:left w:val="single" w:sz="2" w:space="0" w:color="000000"/>
              <w:bottom w:val="single" w:sz="2" w:space="0" w:color="000000"/>
            </w:tcBorders>
          </w:tcPr>
          <w:p>
            <w:pPr>
              <w:pStyle w:val="Contedodatabela"/>
              <w:widowControl w:val="false"/>
              <w:rPr>
                <w:rFonts w:ascii="Arial" w:hAnsi="Arial" w:eastAsia="Times New Roman" w:cs="Arial"/>
                <w:b w:val="false"/>
                <w:b w:val="false"/>
                <w:bCs w:val="false"/>
                <w:i w:val="false"/>
                <w:i w:val="false"/>
                <w:iCs w:val="false"/>
                <w:color w:val="000000"/>
                <w:kern w:val="0"/>
                <w:sz w:val="21"/>
                <w:szCs w:val="21"/>
                <w:lang w:val="pt-BR" w:eastAsia="pt-BR" w:bidi="ar-SA"/>
              </w:rPr>
            </w:pPr>
            <w:r>
              <w:rPr>
                <w:rFonts w:eastAsia="Times New Roman" w:cs="Arial" w:ascii="Arial" w:hAnsi="Arial"/>
                <w:b w:val="false"/>
                <w:bCs w:val="false"/>
                <w:i w:val="false"/>
                <w:iCs w:val="false"/>
                <w:color w:val="000000"/>
                <w:kern w:val="0"/>
                <w:sz w:val="21"/>
                <w:szCs w:val="21"/>
                <w:lang w:val="pt-BR" w:eastAsia="pt-BR" w:bidi="ar-SA"/>
              </w:rPr>
              <w:t>158149</w:t>
            </w:r>
          </w:p>
        </w:tc>
        <w:tc>
          <w:tcPr>
            <w:tcW w:w="5523" w:type="dxa"/>
            <w:tcBorders>
              <w:left w:val="single" w:sz="2" w:space="0" w:color="000000"/>
              <w:bottom w:val="single" w:sz="2" w:space="0" w:color="000000"/>
              <w:right w:val="single" w:sz="2" w:space="0" w:color="000000"/>
            </w:tcBorders>
          </w:tcPr>
          <w:p>
            <w:pPr>
              <w:pStyle w:val="Default"/>
              <w:widowControl w:val="false"/>
              <w:numPr>
                <w:ilvl w:val="0"/>
                <w:numId w:val="0"/>
              </w:numPr>
              <w:spacing w:before="0" w:after="0"/>
              <w:ind w:left="0" w:hanging="0"/>
              <w:rPr>
                <w:rFonts w:eastAsia="Times New Roman" w:cs="Arial"/>
                <w:b w:val="false"/>
                <w:b w:val="false"/>
                <w:bCs w:val="false"/>
                <w:i w:val="false"/>
                <w:i w:val="false"/>
                <w:iCs w:val="false"/>
                <w:color w:val="000000"/>
                <w:kern w:val="0"/>
                <w:sz w:val="21"/>
                <w:szCs w:val="21"/>
                <w:lang w:val="pt-BR" w:eastAsia="pt-BR" w:bidi="ar-SA"/>
              </w:rPr>
            </w:pPr>
            <w:r>
              <w:rPr>
                <w:rFonts w:eastAsia="Times New Roman" w:cs="Arial"/>
                <w:b w:val="false"/>
                <w:bCs w:val="false"/>
                <w:i w:val="false"/>
                <w:iCs w:val="false"/>
                <w:color w:val="000000"/>
                <w:kern w:val="0"/>
                <w:sz w:val="21"/>
                <w:szCs w:val="21"/>
                <w:lang w:val="pt-BR" w:eastAsia="pt-BR" w:bidi="ar-SA"/>
              </w:rPr>
              <w:t>Rua Aristarco Lopes, 240, Centro, Petrolina-PE, CEP: 56302-100– Petrolina – PE – Telefone (87) 2101- 2350 – RAMAL: 2396</w:t>
            </w:r>
          </w:p>
        </w:tc>
      </w:tr>
      <w:tr>
        <w:trPr/>
        <w:tc>
          <w:tcPr>
            <w:tcW w:w="2835" w:type="dxa"/>
            <w:tcBorders>
              <w:left w:val="single" w:sz="2" w:space="0" w:color="000000"/>
              <w:bottom w:val="single" w:sz="2" w:space="0" w:color="000000"/>
            </w:tcBorders>
          </w:tcPr>
          <w:p>
            <w:pPr>
              <w:pStyle w:val="Contedodatabela"/>
              <w:widowControl w:val="false"/>
              <w:rPr>
                <w:rFonts w:ascii="Arial" w:hAnsi="Arial" w:eastAsia="Times New Roman" w:cs="Arial"/>
                <w:b w:val="false"/>
                <w:b w:val="false"/>
                <w:bCs w:val="false"/>
                <w:i w:val="false"/>
                <w:i w:val="false"/>
                <w:iCs w:val="false"/>
                <w:color w:val="000000"/>
                <w:kern w:val="0"/>
                <w:sz w:val="21"/>
                <w:szCs w:val="21"/>
                <w:lang w:val="pt-BR" w:eastAsia="pt-BR" w:bidi="ar-SA"/>
              </w:rPr>
            </w:pPr>
            <w:r>
              <w:rPr>
                <w:rFonts w:eastAsia="Times New Roman" w:cs="Arial" w:ascii="Arial" w:hAnsi="Arial"/>
                <w:b w:val="false"/>
                <w:bCs w:val="false"/>
                <w:i w:val="false"/>
                <w:iCs w:val="false"/>
                <w:color w:val="000000"/>
                <w:kern w:val="0"/>
                <w:sz w:val="21"/>
                <w:szCs w:val="21"/>
                <w:lang w:val="pt-BR" w:eastAsia="pt-BR" w:bidi="ar-SA"/>
              </w:rPr>
              <w:t>Campus Petrolina</w:t>
            </w:r>
          </w:p>
        </w:tc>
        <w:tc>
          <w:tcPr>
            <w:tcW w:w="1137" w:type="dxa"/>
            <w:tcBorders>
              <w:left w:val="single" w:sz="2" w:space="0" w:color="000000"/>
              <w:bottom w:val="single" w:sz="2" w:space="0" w:color="000000"/>
            </w:tcBorders>
          </w:tcPr>
          <w:p>
            <w:pPr>
              <w:pStyle w:val="Contedodatabela"/>
              <w:widowControl w:val="false"/>
              <w:rPr>
                <w:rFonts w:ascii="Arial" w:hAnsi="Arial" w:eastAsia="Times New Roman" w:cs="Arial"/>
                <w:b w:val="false"/>
                <w:b w:val="false"/>
                <w:bCs w:val="false"/>
                <w:i w:val="false"/>
                <w:i w:val="false"/>
                <w:iCs w:val="false"/>
                <w:color w:val="000000"/>
                <w:kern w:val="0"/>
                <w:sz w:val="21"/>
                <w:szCs w:val="21"/>
                <w:lang w:val="pt-BR" w:eastAsia="pt-BR" w:bidi="ar-SA"/>
              </w:rPr>
            </w:pPr>
            <w:r>
              <w:rPr>
                <w:rFonts w:eastAsia="Times New Roman" w:cs="Arial" w:ascii="Arial" w:hAnsi="Arial"/>
                <w:b w:val="false"/>
                <w:bCs w:val="false"/>
                <w:i w:val="false"/>
                <w:iCs w:val="false"/>
                <w:color w:val="000000"/>
                <w:kern w:val="0"/>
                <w:sz w:val="21"/>
                <w:szCs w:val="21"/>
                <w:lang w:val="pt-BR" w:eastAsia="pt-BR" w:bidi="ar-SA"/>
              </w:rPr>
              <w:t>158499</w:t>
            </w:r>
          </w:p>
        </w:tc>
        <w:tc>
          <w:tcPr>
            <w:tcW w:w="5523" w:type="dxa"/>
            <w:tcBorders>
              <w:left w:val="single" w:sz="2" w:space="0" w:color="000000"/>
              <w:bottom w:val="single" w:sz="2" w:space="0" w:color="000000"/>
              <w:right w:val="single" w:sz="2" w:space="0" w:color="000000"/>
            </w:tcBorders>
          </w:tcPr>
          <w:p>
            <w:pPr>
              <w:pStyle w:val="Default"/>
              <w:widowControl w:val="false"/>
              <w:numPr>
                <w:ilvl w:val="0"/>
                <w:numId w:val="0"/>
              </w:numPr>
              <w:spacing w:before="0" w:after="0"/>
              <w:ind w:left="0" w:hanging="0"/>
              <w:rPr>
                <w:rFonts w:eastAsia="Times New Roman" w:cs="Arial"/>
                <w:b w:val="false"/>
                <w:b w:val="false"/>
                <w:bCs w:val="false"/>
                <w:i w:val="false"/>
                <w:i w:val="false"/>
                <w:iCs w:val="false"/>
                <w:color w:val="000000"/>
                <w:kern w:val="0"/>
                <w:sz w:val="21"/>
                <w:szCs w:val="21"/>
                <w:lang w:val="pt-BR" w:eastAsia="pt-BR" w:bidi="ar-SA"/>
              </w:rPr>
            </w:pPr>
            <w:r>
              <w:rPr>
                <w:rFonts w:eastAsia="Times New Roman" w:cs="Arial"/>
                <w:b w:val="false"/>
                <w:bCs w:val="false"/>
                <w:i w:val="false"/>
                <w:iCs w:val="false"/>
                <w:color w:val="000000"/>
                <w:kern w:val="0"/>
                <w:sz w:val="21"/>
                <w:szCs w:val="21"/>
                <w:lang w:val="pt-BR" w:eastAsia="pt-BR" w:bidi="ar-SA"/>
              </w:rPr>
              <w:t>BR 407, Km 08 – Jardim São Paulo – CEP: 56314-520 – Petrolina/PE – Email: cp.dap@ifsertao-pe.edu.br</w:t>
            </w:r>
          </w:p>
        </w:tc>
      </w:tr>
      <w:tr>
        <w:trPr/>
        <w:tc>
          <w:tcPr>
            <w:tcW w:w="2835" w:type="dxa"/>
            <w:tcBorders>
              <w:left w:val="single" w:sz="2" w:space="0" w:color="000000"/>
              <w:bottom w:val="single" w:sz="2" w:space="0" w:color="000000"/>
            </w:tcBorders>
          </w:tcPr>
          <w:p>
            <w:pPr>
              <w:pStyle w:val="Contedodatabela"/>
              <w:widowControl w:val="false"/>
              <w:rPr>
                <w:rFonts w:ascii="Arial" w:hAnsi="Arial" w:eastAsia="Times New Roman" w:cs="Arial"/>
                <w:b w:val="false"/>
                <w:b w:val="false"/>
                <w:bCs w:val="false"/>
                <w:i w:val="false"/>
                <w:i w:val="false"/>
                <w:iCs w:val="false"/>
                <w:color w:val="000000"/>
                <w:kern w:val="0"/>
                <w:sz w:val="21"/>
                <w:szCs w:val="21"/>
                <w:lang w:val="pt-BR" w:eastAsia="pt-BR" w:bidi="ar-SA"/>
              </w:rPr>
            </w:pPr>
            <w:r>
              <w:rPr>
                <w:rFonts w:eastAsia="Times New Roman" w:cs="Arial" w:ascii="Arial" w:hAnsi="Arial"/>
                <w:b w:val="false"/>
                <w:bCs w:val="false"/>
                <w:i w:val="false"/>
                <w:iCs w:val="false"/>
                <w:color w:val="000000"/>
                <w:kern w:val="0"/>
                <w:sz w:val="21"/>
                <w:szCs w:val="21"/>
                <w:lang w:val="pt-BR" w:eastAsia="pt-BR" w:bidi="ar-SA"/>
              </w:rPr>
              <w:t>Campus Petrolina Zona Rural</w:t>
            </w:r>
          </w:p>
        </w:tc>
        <w:tc>
          <w:tcPr>
            <w:tcW w:w="1137" w:type="dxa"/>
            <w:tcBorders>
              <w:left w:val="single" w:sz="2" w:space="0" w:color="000000"/>
              <w:bottom w:val="single" w:sz="2" w:space="0" w:color="000000"/>
            </w:tcBorders>
          </w:tcPr>
          <w:p>
            <w:pPr>
              <w:pStyle w:val="Contedodatabela"/>
              <w:widowControl w:val="false"/>
              <w:rPr>
                <w:rFonts w:ascii="Arial" w:hAnsi="Arial" w:eastAsia="Times New Roman" w:cs="Arial"/>
                <w:b w:val="false"/>
                <w:b w:val="false"/>
                <w:bCs w:val="false"/>
                <w:i w:val="false"/>
                <w:i w:val="false"/>
                <w:iCs w:val="false"/>
                <w:color w:val="000000"/>
                <w:kern w:val="0"/>
                <w:sz w:val="21"/>
                <w:szCs w:val="21"/>
                <w:lang w:val="pt-BR" w:eastAsia="pt-BR" w:bidi="ar-SA"/>
              </w:rPr>
            </w:pPr>
            <w:r>
              <w:rPr>
                <w:rFonts w:eastAsia="Times New Roman" w:cs="Arial" w:ascii="Arial" w:hAnsi="Arial"/>
                <w:b w:val="false"/>
                <w:bCs w:val="false"/>
                <w:i w:val="false"/>
                <w:iCs w:val="false"/>
                <w:color w:val="000000"/>
                <w:kern w:val="0"/>
                <w:sz w:val="21"/>
                <w:szCs w:val="21"/>
                <w:lang w:val="pt-BR" w:eastAsia="pt-BR" w:bidi="ar-SA"/>
              </w:rPr>
              <w:t>158278</w:t>
            </w:r>
          </w:p>
        </w:tc>
        <w:tc>
          <w:tcPr>
            <w:tcW w:w="5523" w:type="dxa"/>
            <w:tcBorders>
              <w:left w:val="single" w:sz="2" w:space="0" w:color="000000"/>
              <w:bottom w:val="single" w:sz="2" w:space="0" w:color="000000"/>
              <w:right w:val="single" w:sz="2" w:space="0" w:color="000000"/>
            </w:tcBorders>
          </w:tcPr>
          <w:p>
            <w:pPr>
              <w:pStyle w:val="Default"/>
              <w:widowControl w:val="false"/>
              <w:numPr>
                <w:ilvl w:val="0"/>
                <w:numId w:val="0"/>
              </w:numPr>
              <w:spacing w:before="0" w:after="0"/>
              <w:ind w:left="0" w:hanging="0"/>
              <w:rPr>
                <w:rFonts w:cs="Arial"/>
                <w:color w:val="000000"/>
                <w:sz w:val="21"/>
                <w:szCs w:val="21"/>
              </w:rPr>
            </w:pPr>
            <w:r>
              <w:rPr>
                <w:rFonts w:eastAsia="Times New Roman" w:cs="Arial"/>
                <w:b w:val="false"/>
                <w:bCs w:val="false"/>
                <w:i w:val="false"/>
                <w:iCs w:val="false"/>
                <w:color w:val="000000"/>
                <w:kern w:val="0"/>
                <w:sz w:val="21"/>
                <w:szCs w:val="21"/>
                <w:lang w:val="pt-BR" w:eastAsia="pt-BR" w:bidi="ar-SA"/>
              </w:rPr>
              <w:t xml:space="preserve">Rodovia BR 235, Km 22, Projeto Senador Nilo Coelho - N4 – Petrolina – PE – CEP: 56.300-000 – Telefone: </w:t>
            </w:r>
            <w:r>
              <w:rPr>
                <w:rFonts w:eastAsia="Times New Roman" w:cs="Arial"/>
                <w:b w:val="false"/>
                <w:bCs w:val="false"/>
                <w:i w:val="false"/>
                <w:iCs w:val="false"/>
                <w:caps w:val="false"/>
                <w:smallCaps w:val="false"/>
                <w:color w:val="000000"/>
                <w:spacing w:val="0"/>
                <w:kern w:val="0"/>
                <w:sz w:val="21"/>
                <w:szCs w:val="21"/>
                <w:lang w:val="pt-BR" w:eastAsia="pt-BR" w:bidi="ar-SA"/>
              </w:rPr>
              <w:t>(87) 2101-8061</w:t>
            </w:r>
          </w:p>
        </w:tc>
      </w:tr>
      <w:tr>
        <w:trPr/>
        <w:tc>
          <w:tcPr>
            <w:tcW w:w="2835" w:type="dxa"/>
            <w:tcBorders>
              <w:left w:val="single" w:sz="2" w:space="0" w:color="000000"/>
              <w:bottom w:val="single" w:sz="2" w:space="0" w:color="000000"/>
            </w:tcBorders>
          </w:tcPr>
          <w:p>
            <w:pPr>
              <w:pStyle w:val="Contedodatabela"/>
              <w:widowControl w:val="false"/>
              <w:rPr>
                <w:rFonts w:ascii="Arial" w:hAnsi="Arial" w:eastAsia="Times New Roman" w:cs="Arial"/>
                <w:b w:val="false"/>
                <w:b w:val="false"/>
                <w:bCs w:val="false"/>
                <w:i w:val="false"/>
                <w:i w:val="false"/>
                <w:iCs w:val="false"/>
                <w:color w:val="000000"/>
                <w:kern w:val="0"/>
                <w:sz w:val="21"/>
                <w:szCs w:val="21"/>
                <w:lang w:val="pt-BR" w:eastAsia="pt-BR" w:bidi="ar-SA"/>
              </w:rPr>
            </w:pPr>
            <w:r>
              <w:rPr>
                <w:rFonts w:eastAsia="Times New Roman" w:cs="Arial" w:ascii="Arial" w:hAnsi="Arial"/>
                <w:b w:val="false"/>
                <w:bCs w:val="false"/>
                <w:i w:val="false"/>
                <w:iCs w:val="false"/>
                <w:color w:val="000000"/>
                <w:kern w:val="0"/>
                <w:sz w:val="21"/>
                <w:szCs w:val="21"/>
                <w:lang w:val="pt-BR" w:eastAsia="pt-BR" w:bidi="ar-SA"/>
              </w:rPr>
              <w:t>Campus Salgueiro</w:t>
            </w:r>
          </w:p>
        </w:tc>
        <w:tc>
          <w:tcPr>
            <w:tcW w:w="1137" w:type="dxa"/>
            <w:tcBorders>
              <w:left w:val="single" w:sz="2" w:space="0" w:color="000000"/>
              <w:bottom w:val="single" w:sz="2" w:space="0" w:color="000000"/>
            </w:tcBorders>
          </w:tcPr>
          <w:p>
            <w:pPr>
              <w:pStyle w:val="Contedodatabela"/>
              <w:widowControl w:val="false"/>
              <w:rPr>
                <w:rFonts w:ascii="Arial" w:hAnsi="Arial" w:eastAsia="Times New Roman" w:cs="Arial"/>
                <w:b w:val="false"/>
                <w:b w:val="false"/>
                <w:bCs w:val="false"/>
                <w:i w:val="false"/>
                <w:i w:val="false"/>
                <w:iCs w:val="false"/>
                <w:color w:val="000000"/>
                <w:kern w:val="0"/>
                <w:sz w:val="21"/>
                <w:szCs w:val="21"/>
                <w:lang w:val="pt-BR" w:eastAsia="pt-BR" w:bidi="ar-SA"/>
              </w:rPr>
            </w:pPr>
            <w:r>
              <w:rPr>
                <w:rFonts w:eastAsia="Times New Roman" w:cs="Arial" w:ascii="Arial" w:hAnsi="Arial"/>
                <w:b w:val="false"/>
                <w:bCs w:val="false"/>
                <w:i w:val="false"/>
                <w:iCs w:val="false"/>
                <w:color w:val="000000"/>
                <w:kern w:val="0"/>
                <w:sz w:val="21"/>
                <w:szCs w:val="21"/>
                <w:lang w:val="pt-BR" w:eastAsia="pt-BR" w:bidi="ar-SA"/>
              </w:rPr>
              <w:t>158568</w:t>
            </w:r>
          </w:p>
        </w:tc>
        <w:tc>
          <w:tcPr>
            <w:tcW w:w="5523" w:type="dxa"/>
            <w:tcBorders>
              <w:left w:val="single" w:sz="2" w:space="0" w:color="000000"/>
              <w:bottom w:val="single" w:sz="2" w:space="0" w:color="000000"/>
              <w:right w:val="single" w:sz="2" w:space="0" w:color="000000"/>
            </w:tcBorders>
          </w:tcPr>
          <w:p>
            <w:pPr>
              <w:pStyle w:val="Default"/>
              <w:widowControl w:val="false"/>
              <w:numPr>
                <w:ilvl w:val="0"/>
                <w:numId w:val="0"/>
              </w:numPr>
              <w:spacing w:before="0" w:after="0"/>
              <w:ind w:left="0" w:hanging="0"/>
              <w:rPr>
                <w:rFonts w:cs="Arial"/>
                <w:color w:val="000000"/>
                <w:sz w:val="21"/>
                <w:szCs w:val="21"/>
              </w:rPr>
            </w:pPr>
            <w:r>
              <w:rPr>
                <w:rFonts w:eastAsia="Times New Roman" w:cs="Arial"/>
                <w:b w:val="false"/>
                <w:bCs w:val="false"/>
                <w:i w:val="false"/>
                <w:iCs w:val="false"/>
                <w:color w:val="000000"/>
                <w:kern w:val="0"/>
                <w:sz w:val="21"/>
                <w:szCs w:val="21"/>
                <w:lang w:val="pt-BR" w:eastAsia="pt-BR" w:bidi="ar-SA"/>
              </w:rPr>
              <w:t xml:space="preserve">Rodovia BR </w:t>
            </w:r>
            <w:r>
              <w:rPr>
                <w:rFonts w:eastAsia="Times New Roman" w:cs="Arial"/>
                <w:b w:val="false"/>
                <w:bCs w:val="false"/>
                <w:i w:val="false"/>
                <w:iCs w:val="false"/>
                <w:color w:val="000000"/>
                <w:kern w:val="0"/>
                <w:sz w:val="21"/>
                <w:szCs w:val="21"/>
                <w:shd w:fill="auto" w:val="clear"/>
                <w:lang w:val="pt-BR" w:eastAsia="pt-BR" w:bidi="ar-SA"/>
              </w:rPr>
              <w:t>232, KM 504, Zon</w:t>
            </w:r>
            <w:r>
              <w:rPr>
                <w:rFonts w:eastAsia="Times New Roman" w:cs="Arial"/>
                <w:b w:val="false"/>
                <w:bCs w:val="false"/>
                <w:i w:val="false"/>
                <w:iCs w:val="false"/>
                <w:color w:val="000000"/>
                <w:kern w:val="0"/>
                <w:sz w:val="21"/>
                <w:szCs w:val="21"/>
                <w:lang w:val="pt-BR" w:eastAsia="pt-BR" w:bidi="ar-SA"/>
              </w:rPr>
              <w:t>a Rural, Salgueiro – PE – CEP:</w:t>
            </w:r>
            <w:r>
              <w:rPr>
                <w:rFonts w:eastAsia="Times New Roman" w:cs="Arial"/>
                <w:b w:val="false"/>
                <w:bCs w:val="false"/>
                <w:i w:val="false"/>
                <w:iCs w:val="false"/>
                <w:caps w:val="false"/>
                <w:smallCaps w:val="false"/>
                <w:color w:val="000000"/>
                <w:spacing w:val="0"/>
                <w:kern w:val="0"/>
                <w:sz w:val="21"/>
                <w:szCs w:val="21"/>
                <w:lang w:val="pt-BR" w:eastAsia="pt-BR" w:bidi="ar-SA"/>
              </w:rPr>
              <w:t xml:space="preserve"> 56.000-000</w:t>
            </w:r>
            <w:r>
              <w:rPr>
                <w:rFonts w:eastAsia="Times New Roman" w:cs="Arial"/>
                <w:b w:val="false"/>
                <w:bCs w:val="false"/>
                <w:i w:val="false"/>
                <w:iCs w:val="false"/>
                <w:color w:val="000000"/>
                <w:kern w:val="0"/>
                <w:sz w:val="21"/>
                <w:szCs w:val="21"/>
                <w:lang w:val="pt-BR" w:eastAsia="pt-BR" w:bidi="ar-SA"/>
              </w:rPr>
              <w:t xml:space="preserve"> – e-mail: cs.dap@ifsertao-pe.edu.br</w:t>
            </w:r>
          </w:p>
        </w:tc>
      </w:tr>
      <w:tr>
        <w:trPr/>
        <w:tc>
          <w:tcPr>
            <w:tcW w:w="2835" w:type="dxa"/>
            <w:tcBorders>
              <w:left w:val="single" w:sz="2" w:space="0" w:color="000000"/>
              <w:bottom w:val="single" w:sz="2" w:space="0" w:color="000000"/>
            </w:tcBorders>
          </w:tcPr>
          <w:p>
            <w:pPr>
              <w:pStyle w:val="Contedodatabela"/>
              <w:widowControl w:val="false"/>
              <w:rPr>
                <w:rFonts w:ascii="Arial" w:hAnsi="Arial" w:eastAsia="Times New Roman" w:cs="Arial"/>
                <w:b w:val="false"/>
                <w:b w:val="false"/>
                <w:bCs w:val="false"/>
                <w:i w:val="false"/>
                <w:i w:val="false"/>
                <w:iCs w:val="false"/>
                <w:color w:val="000000"/>
                <w:kern w:val="0"/>
                <w:sz w:val="21"/>
                <w:szCs w:val="21"/>
                <w:lang w:val="pt-BR" w:eastAsia="pt-BR" w:bidi="ar-SA"/>
              </w:rPr>
            </w:pPr>
            <w:r>
              <w:rPr>
                <w:rFonts w:eastAsia="Times New Roman" w:cs="Arial" w:ascii="Arial" w:hAnsi="Arial"/>
                <w:b w:val="false"/>
                <w:bCs w:val="false"/>
                <w:i w:val="false"/>
                <w:iCs w:val="false"/>
                <w:color w:val="000000"/>
                <w:kern w:val="0"/>
                <w:sz w:val="21"/>
                <w:szCs w:val="21"/>
                <w:lang w:val="pt-BR" w:eastAsia="pt-BR" w:bidi="ar-SA"/>
              </w:rPr>
              <w:t>Campus Ouricuri</w:t>
            </w:r>
          </w:p>
        </w:tc>
        <w:tc>
          <w:tcPr>
            <w:tcW w:w="1137" w:type="dxa"/>
            <w:tcBorders>
              <w:left w:val="single" w:sz="2" w:space="0" w:color="000000"/>
              <w:bottom w:val="single" w:sz="2" w:space="0" w:color="000000"/>
            </w:tcBorders>
          </w:tcPr>
          <w:p>
            <w:pPr>
              <w:pStyle w:val="Contedodatabela"/>
              <w:widowControl w:val="false"/>
              <w:rPr>
                <w:rFonts w:ascii="Arial" w:hAnsi="Arial" w:eastAsia="Times New Roman" w:cs="Arial"/>
                <w:b w:val="false"/>
                <w:b w:val="false"/>
                <w:bCs w:val="false"/>
                <w:i w:val="false"/>
                <w:i w:val="false"/>
                <w:iCs w:val="false"/>
                <w:color w:val="000000"/>
                <w:kern w:val="0"/>
                <w:sz w:val="21"/>
                <w:szCs w:val="21"/>
                <w:lang w:val="pt-BR" w:eastAsia="pt-BR" w:bidi="ar-SA"/>
              </w:rPr>
            </w:pPr>
            <w:r>
              <w:rPr>
                <w:rFonts w:eastAsia="Times New Roman" w:cs="Arial" w:ascii="Arial" w:hAnsi="Arial"/>
                <w:b w:val="false"/>
                <w:bCs w:val="false"/>
                <w:i w:val="false"/>
                <w:iCs w:val="false"/>
                <w:color w:val="000000"/>
                <w:kern w:val="0"/>
                <w:sz w:val="21"/>
                <w:szCs w:val="21"/>
                <w:lang w:val="pt-BR" w:eastAsia="pt-BR" w:bidi="ar-SA"/>
              </w:rPr>
              <w:t>158570</w:t>
            </w:r>
          </w:p>
        </w:tc>
        <w:tc>
          <w:tcPr>
            <w:tcW w:w="5523" w:type="dxa"/>
            <w:tcBorders>
              <w:left w:val="single" w:sz="2" w:space="0" w:color="000000"/>
              <w:bottom w:val="single" w:sz="2" w:space="0" w:color="000000"/>
              <w:right w:val="single" w:sz="2" w:space="0" w:color="000000"/>
            </w:tcBorders>
          </w:tcPr>
          <w:p>
            <w:pPr>
              <w:pStyle w:val="Default"/>
              <w:widowControl w:val="false"/>
              <w:numPr>
                <w:ilvl w:val="0"/>
                <w:numId w:val="0"/>
              </w:numPr>
              <w:spacing w:before="0" w:after="0"/>
              <w:ind w:left="0" w:hanging="0"/>
              <w:rPr/>
            </w:pPr>
            <w:r>
              <w:rPr>
                <w:rFonts w:eastAsia="Times New Roman" w:cs="Arial"/>
                <w:b w:val="false"/>
                <w:bCs w:val="false"/>
                <w:i w:val="false"/>
                <w:iCs w:val="false"/>
                <w:color w:val="000000"/>
                <w:kern w:val="0"/>
                <w:sz w:val="21"/>
                <w:szCs w:val="21"/>
                <w:lang w:val="pt-BR" w:eastAsia="pt-BR" w:bidi="ar-SA"/>
              </w:rPr>
              <w:t>Es</w:t>
            </w:r>
            <w:r>
              <w:rPr>
                <w:rFonts w:eastAsia="Times New Roman" w:cs="Arial"/>
                <w:b w:val="false"/>
                <w:bCs w:val="false"/>
                <w:i w:val="false"/>
                <w:iCs w:val="false"/>
                <w:color w:val="000000"/>
                <w:kern w:val="0"/>
                <w:sz w:val="21"/>
                <w:szCs w:val="21"/>
                <w:shd w:fill="auto" w:val="clear"/>
                <w:lang w:val="pt-BR" w:eastAsia="pt-BR" w:bidi="ar-SA"/>
              </w:rPr>
              <w:t xml:space="preserve">trada do Tamburil s/n – Ouricuri-PE CEP 56.200-000 – Telefones: (87) 99625-0189 – E-mail: </w:t>
            </w:r>
            <w:r>
              <w:rPr>
                <w:rFonts w:eastAsia="Times New Roman" w:cs="Arial"/>
                <w:b w:val="false"/>
                <w:bCs w:val="false"/>
                <w:i w:val="false"/>
                <w:iCs w:val="false"/>
                <w:caps w:val="false"/>
                <w:smallCaps w:val="false"/>
                <w:color w:val="000000"/>
                <w:spacing w:val="0"/>
                <w:kern w:val="0"/>
                <w:sz w:val="21"/>
                <w:szCs w:val="21"/>
                <w:shd w:fill="auto" w:val="clear"/>
                <w:lang w:val="pt-BR" w:eastAsia="pt-BR" w:bidi="ar-SA"/>
              </w:rPr>
              <w:t> </w:t>
            </w:r>
            <w:hyperlink r:id="rId2">
              <w:bookmarkStart w:id="0" w:name="cloaka52995ff4885ce52123930a652d4a7ad"/>
              <w:bookmarkEnd w:id="0"/>
              <w:r>
                <w:rPr>
                  <w:rStyle w:val="LinkdaInternet"/>
                  <w:rFonts w:eastAsia="Times New Roman" w:cs="Arial"/>
                  <w:b w:val="false"/>
                  <w:bCs w:val="false"/>
                  <w:i w:val="false"/>
                  <w:iCs w:val="false"/>
                  <w:caps w:val="false"/>
                  <w:smallCaps w:val="false"/>
                  <w:strike w:val="false"/>
                  <w:dstrike w:val="false"/>
                  <w:color w:val="000000"/>
                  <w:spacing w:val="0"/>
                  <w:kern w:val="0"/>
                  <w:sz w:val="21"/>
                  <w:szCs w:val="21"/>
                  <w:u w:val="none"/>
                  <w:effect w:val="none"/>
                  <w:shd w:fill="auto" w:val="clear"/>
                  <w:lang w:val="pt-BR" w:eastAsia="pt-BR" w:bidi="ar-SA"/>
                </w:rPr>
                <w:t>co.dap@ifsertao-pe.edu.br</w:t>
              </w:r>
            </w:hyperlink>
          </w:p>
        </w:tc>
      </w:tr>
      <w:tr>
        <w:trPr/>
        <w:tc>
          <w:tcPr>
            <w:tcW w:w="2835" w:type="dxa"/>
            <w:tcBorders>
              <w:left w:val="single" w:sz="2" w:space="0" w:color="000000"/>
              <w:bottom w:val="single" w:sz="2" w:space="0" w:color="000000"/>
            </w:tcBorders>
          </w:tcPr>
          <w:p>
            <w:pPr>
              <w:pStyle w:val="Contedodatabela"/>
              <w:widowControl w:val="false"/>
              <w:rPr>
                <w:rFonts w:ascii="Arial" w:hAnsi="Arial" w:eastAsia="Times New Roman" w:cs="Arial"/>
                <w:b w:val="false"/>
                <w:b w:val="false"/>
                <w:bCs w:val="false"/>
                <w:i w:val="false"/>
                <w:i w:val="false"/>
                <w:iCs w:val="false"/>
                <w:color w:val="000000"/>
                <w:kern w:val="0"/>
                <w:sz w:val="21"/>
                <w:szCs w:val="21"/>
                <w:lang w:val="pt-BR" w:eastAsia="pt-BR" w:bidi="ar-SA"/>
              </w:rPr>
            </w:pPr>
            <w:r>
              <w:rPr>
                <w:rFonts w:eastAsia="Times New Roman" w:cs="Arial" w:ascii="Arial" w:hAnsi="Arial"/>
                <w:b w:val="false"/>
                <w:bCs w:val="false"/>
                <w:i w:val="false"/>
                <w:iCs w:val="false"/>
                <w:color w:val="000000"/>
                <w:kern w:val="0"/>
                <w:sz w:val="21"/>
                <w:szCs w:val="21"/>
                <w:lang w:val="pt-BR" w:eastAsia="pt-BR" w:bidi="ar-SA"/>
              </w:rPr>
              <w:t>Campus Floresta</w:t>
            </w:r>
          </w:p>
        </w:tc>
        <w:tc>
          <w:tcPr>
            <w:tcW w:w="1137" w:type="dxa"/>
            <w:tcBorders>
              <w:left w:val="single" w:sz="2" w:space="0" w:color="000000"/>
              <w:bottom w:val="single" w:sz="2" w:space="0" w:color="000000"/>
            </w:tcBorders>
          </w:tcPr>
          <w:p>
            <w:pPr>
              <w:pStyle w:val="Contedodatabela"/>
              <w:widowControl w:val="false"/>
              <w:rPr>
                <w:rFonts w:ascii="Arial" w:hAnsi="Arial" w:eastAsia="Times New Roman" w:cs="Arial"/>
                <w:b w:val="false"/>
                <w:b w:val="false"/>
                <w:bCs w:val="false"/>
                <w:i w:val="false"/>
                <w:i w:val="false"/>
                <w:iCs w:val="false"/>
                <w:color w:val="000000"/>
                <w:kern w:val="0"/>
                <w:sz w:val="21"/>
                <w:szCs w:val="21"/>
                <w:lang w:val="pt-BR" w:eastAsia="pt-BR" w:bidi="ar-SA"/>
              </w:rPr>
            </w:pPr>
            <w:r>
              <w:rPr>
                <w:rFonts w:eastAsia="Times New Roman" w:cs="Arial" w:ascii="Arial" w:hAnsi="Arial"/>
                <w:b w:val="false"/>
                <w:bCs w:val="false"/>
                <w:i w:val="false"/>
                <w:iCs w:val="false"/>
                <w:color w:val="000000"/>
                <w:kern w:val="0"/>
                <w:sz w:val="21"/>
                <w:szCs w:val="21"/>
                <w:lang w:val="pt-BR" w:eastAsia="pt-BR" w:bidi="ar-SA"/>
              </w:rPr>
              <w:t>158500</w:t>
            </w:r>
          </w:p>
        </w:tc>
        <w:tc>
          <w:tcPr>
            <w:tcW w:w="5523" w:type="dxa"/>
            <w:tcBorders>
              <w:left w:val="single" w:sz="2" w:space="0" w:color="000000"/>
              <w:bottom w:val="single" w:sz="2" w:space="0" w:color="000000"/>
              <w:right w:val="single" w:sz="2" w:space="0" w:color="000000"/>
            </w:tcBorders>
          </w:tcPr>
          <w:p>
            <w:pPr>
              <w:pStyle w:val="Default"/>
              <w:widowControl w:val="false"/>
              <w:numPr>
                <w:ilvl w:val="0"/>
                <w:numId w:val="0"/>
              </w:numPr>
              <w:spacing w:before="0" w:after="0"/>
              <w:ind w:left="0" w:hanging="0"/>
              <w:rPr>
                <w:rFonts w:eastAsia="Times New Roman" w:cs="Arial"/>
                <w:b w:val="false"/>
                <w:b w:val="false"/>
                <w:bCs w:val="false"/>
                <w:i w:val="false"/>
                <w:i w:val="false"/>
                <w:iCs w:val="false"/>
                <w:color w:val="000000"/>
                <w:kern w:val="0"/>
                <w:sz w:val="21"/>
                <w:szCs w:val="21"/>
                <w:lang w:val="pt-BR" w:eastAsia="pt-BR" w:bidi="ar-SA"/>
              </w:rPr>
            </w:pPr>
            <w:r>
              <w:rPr>
                <w:rFonts w:eastAsia="Times New Roman" w:cs="Arial"/>
                <w:b w:val="false"/>
                <w:bCs w:val="false"/>
                <w:i w:val="false"/>
                <w:iCs w:val="false"/>
                <w:color w:val="000000"/>
                <w:kern w:val="0"/>
                <w:sz w:val="21"/>
                <w:szCs w:val="21"/>
                <w:lang w:val="pt-BR" w:eastAsia="pt-BR" w:bidi="ar-SA"/>
              </w:rPr>
              <w:t>Rua Projetada, s/n, Caetano II, Floresta – PE – CEP 56.400-000 – Telefone 87 99635-0001 – Email: cf.dap@ifsertao-pe.edu.br</w:t>
            </w:r>
          </w:p>
        </w:tc>
      </w:tr>
      <w:tr>
        <w:trPr/>
        <w:tc>
          <w:tcPr>
            <w:tcW w:w="2835" w:type="dxa"/>
            <w:tcBorders>
              <w:left w:val="single" w:sz="2" w:space="0" w:color="000000"/>
              <w:bottom w:val="single" w:sz="2" w:space="0" w:color="000000"/>
            </w:tcBorders>
          </w:tcPr>
          <w:p>
            <w:pPr>
              <w:pStyle w:val="Contedodatabela"/>
              <w:widowControl w:val="false"/>
              <w:rPr>
                <w:rFonts w:ascii="Arial" w:hAnsi="Arial" w:eastAsia="Times New Roman" w:cs="Arial"/>
                <w:b w:val="false"/>
                <w:b w:val="false"/>
                <w:bCs w:val="false"/>
                <w:i w:val="false"/>
                <w:i w:val="false"/>
                <w:iCs w:val="false"/>
                <w:color w:val="000000"/>
                <w:kern w:val="0"/>
                <w:sz w:val="21"/>
                <w:szCs w:val="21"/>
                <w:lang w:val="pt-BR" w:eastAsia="pt-BR" w:bidi="ar-SA"/>
              </w:rPr>
            </w:pPr>
            <w:r>
              <w:rPr>
                <w:rFonts w:eastAsia="Times New Roman" w:cs="Arial" w:ascii="Arial" w:hAnsi="Arial"/>
                <w:b w:val="false"/>
                <w:bCs w:val="false"/>
                <w:i w:val="false"/>
                <w:iCs w:val="false"/>
                <w:color w:val="000000"/>
                <w:kern w:val="0"/>
                <w:sz w:val="21"/>
                <w:szCs w:val="21"/>
                <w:lang w:val="pt-BR" w:eastAsia="pt-BR" w:bidi="ar-SA"/>
              </w:rPr>
              <w:t>Campus Santa Maria da Boa Vista</w:t>
            </w:r>
          </w:p>
        </w:tc>
        <w:tc>
          <w:tcPr>
            <w:tcW w:w="1137" w:type="dxa"/>
            <w:tcBorders>
              <w:left w:val="single" w:sz="2" w:space="0" w:color="000000"/>
              <w:bottom w:val="single" w:sz="2" w:space="0" w:color="000000"/>
            </w:tcBorders>
          </w:tcPr>
          <w:p>
            <w:pPr>
              <w:pStyle w:val="Contedodatabela"/>
              <w:widowControl w:val="false"/>
              <w:rPr>
                <w:rFonts w:ascii="Arial" w:hAnsi="Arial" w:eastAsia="Times New Roman" w:cs="Arial"/>
                <w:b w:val="false"/>
                <w:b w:val="false"/>
                <w:bCs w:val="false"/>
                <w:i w:val="false"/>
                <w:i w:val="false"/>
                <w:iCs w:val="false"/>
                <w:color w:val="000000"/>
                <w:kern w:val="0"/>
                <w:sz w:val="21"/>
                <w:szCs w:val="21"/>
                <w:lang w:val="pt-BR" w:eastAsia="pt-BR" w:bidi="ar-SA"/>
              </w:rPr>
            </w:pPr>
            <w:r>
              <w:rPr>
                <w:rFonts w:eastAsia="Times New Roman" w:cs="Arial" w:ascii="Arial" w:hAnsi="Arial"/>
                <w:b w:val="false"/>
                <w:bCs w:val="false"/>
                <w:i w:val="false"/>
                <w:iCs w:val="false"/>
                <w:color w:val="000000"/>
                <w:kern w:val="0"/>
                <w:sz w:val="21"/>
                <w:szCs w:val="21"/>
                <w:lang w:val="pt-BR" w:eastAsia="pt-BR" w:bidi="ar-SA"/>
              </w:rPr>
              <w:t>158740</w:t>
            </w:r>
          </w:p>
        </w:tc>
        <w:tc>
          <w:tcPr>
            <w:tcW w:w="5523" w:type="dxa"/>
            <w:tcBorders>
              <w:left w:val="single" w:sz="2" w:space="0" w:color="000000"/>
              <w:bottom w:val="single" w:sz="2" w:space="0" w:color="000000"/>
              <w:right w:val="single" w:sz="2" w:space="0" w:color="000000"/>
            </w:tcBorders>
          </w:tcPr>
          <w:p>
            <w:pPr>
              <w:pStyle w:val="Default"/>
              <w:widowControl w:val="false"/>
              <w:numPr>
                <w:ilvl w:val="0"/>
                <w:numId w:val="0"/>
              </w:numPr>
              <w:spacing w:before="0" w:after="0"/>
              <w:ind w:left="0" w:hanging="0"/>
              <w:rPr>
                <w:rFonts w:eastAsia="Times New Roman" w:cs="Arial"/>
                <w:b w:val="false"/>
                <w:b w:val="false"/>
                <w:bCs w:val="false"/>
                <w:i w:val="false"/>
                <w:i w:val="false"/>
                <w:iCs w:val="false"/>
                <w:color w:val="000000"/>
                <w:kern w:val="0"/>
                <w:sz w:val="21"/>
                <w:szCs w:val="21"/>
                <w:lang w:val="pt-BR" w:eastAsia="pt-BR" w:bidi="ar-SA"/>
              </w:rPr>
            </w:pPr>
            <w:r>
              <w:rPr>
                <w:rFonts w:eastAsia="Times New Roman" w:cs="Arial"/>
                <w:b w:val="false"/>
                <w:bCs w:val="false"/>
                <w:i w:val="false"/>
                <w:iCs w:val="false"/>
                <w:color w:val="000000"/>
                <w:kern w:val="0"/>
                <w:sz w:val="21"/>
                <w:szCs w:val="21"/>
                <w:lang w:val="pt-BR" w:eastAsia="pt-BR" w:bidi="ar-SA"/>
              </w:rPr>
              <w:t>BR 428, Km 90, Zona Rural – CEP: 56.380-000 – Santa Maria da Boa Vista–PE –  Email: csm.dap@ifsertao-pe.edu.br</w:t>
            </w:r>
          </w:p>
        </w:tc>
      </w:tr>
    </w:tbl>
    <w:p>
      <w:pPr>
        <w:pStyle w:val="Nivel1"/>
        <w:numPr>
          <w:ilvl w:val="0"/>
          <w:numId w:val="4"/>
        </w:numPr>
        <w:rPr>
          <w:sz w:val="21"/>
          <w:szCs w:val="21"/>
        </w:rPr>
      </w:pPr>
      <w:r>
        <w:rPr>
          <w:rFonts w:cs="Arial"/>
          <w:color w:val="000000"/>
          <w:sz w:val="21"/>
          <w:szCs w:val="21"/>
        </w:rPr>
        <w:t>JUSTIFICATIVA E OBJETIVO DA C</w:t>
      </w:r>
      <w:r>
        <w:rPr>
          <w:rFonts w:cs="Arial"/>
          <w:sz w:val="21"/>
          <w:szCs w:val="21"/>
        </w:rPr>
        <w:t>ONTRATAÇÃO</w:t>
      </w:r>
    </w:p>
    <w:p>
      <w:pPr>
        <w:pStyle w:val="Normal"/>
        <w:numPr>
          <w:ilvl w:val="1"/>
          <w:numId w:val="173"/>
        </w:numPr>
        <w:spacing w:lineRule="auto" w:line="276" w:before="120" w:after="120"/>
        <w:ind w:left="432" w:hanging="432"/>
        <w:jc w:val="both"/>
        <w:rPr>
          <w:sz w:val="21"/>
          <w:szCs w:val="21"/>
        </w:rPr>
      </w:pPr>
      <w:r>
        <w:rPr>
          <w:sz w:val="21"/>
          <w:szCs w:val="21"/>
        </w:rPr>
        <w:t xml:space="preserve">A Justificativa e objetivo da contratação encontram-se pormenorizados em Tópico específico dos Estudos Técnicos Preliminares, apêndice deste Termo de Referência. </w:t>
      </w:r>
    </w:p>
    <w:p>
      <w:pPr>
        <w:pStyle w:val="Nivel1"/>
        <w:numPr>
          <w:ilvl w:val="0"/>
          <w:numId w:val="4"/>
        </w:numPr>
        <w:rPr>
          <w:sz w:val="21"/>
          <w:szCs w:val="21"/>
        </w:rPr>
      </w:pPr>
      <w:r>
        <w:rPr>
          <w:rFonts w:cs="Arial"/>
          <w:sz w:val="21"/>
          <w:szCs w:val="21"/>
        </w:rPr>
        <w:t>DESCRIÇÃO</w:t>
      </w:r>
      <w:r>
        <w:rPr>
          <w:sz w:val="21"/>
          <w:szCs w:val="21"/>
        </w:rPr>
        <w:t xml:space="preserve"> DA SOLUÇÃO:</w:t>
      </w:r>
    </w:p>
    <w:p>
      <w:pPr>
        <w:pStyle w:val="Normal"/>
        <w:numPr>
          <w:ilvl w:val="1"/>
          <w:numId w:val="174"/>
        </w:numPr>
        <w:spacing w:lineRule="auto" w:line="276" w:before="120" w:after="120"/>
        <w:ind w:left="425" w:hanging="0"/>
        <w:jc w:val="both"/>
        <w:rPr>
          <w:sz w:val="21"/>
          <w:szCs w:val="21"/>
        </w:rPr>
      </w:pPr>
      <w:r>
        <w:rPr>
          <w:sz w:val="21"/>
          <w:szCs w:val="21"/>
        </w:rPr>
        <w:t xml:space="preserve">A descrição da solução como um todo encontra-se pormenorizada em Tópico específico </w:t>
      </w:r>
      <w:r>
        <w:rPr>
          <w:rFonts w:cs="Arial"/>
          <w:sz w:val="21"/>
          <w:szCs w:val="21"/>
        </w:rPr>
        <w:t>dos</w:t>
      </w:r>
      <w:r>
        <w:rPr>
          <w:sz w:val="21"/>
          <w:szCs w:val="21"/>
        </w:rPr>
        <w:t xml:space="preserve"> Estudos Técnicos Preliminares, apêndice deste Termo de Referência.</w:t>
      </w:r>
    </w:p>
    <w:p>
      <w:pPr>
        <w:pStyle w:val="Nivel1"/>
        <w:numPr>
          <w:ilvl w:val="0"/>
          <w:numId w:val="4"/>
        </w:numPr>
        <w:rPr>
          <w:sz w:val="21"/>
          <w:szCs w:val="21"/>
        </w:rPr>
      </w:pPr>
      <w:r>
        <w:rPr>
          <w:rFonts w:cs="Arial"/>
          <w:sz w:val="21"/>
          <w:szCs w:val="21"/>
        </w:rPr>
        <w:t xml:space="preserve">DA CLASSIFICAÇÃO DOS SERVIÇOS </w:t>
      </w:r>
      <w:r>
        <w:rPr>
          <w:rFonts w:cs="Arial"/>
          <w:bCs/>
          <w:sz w:val="21"/>
          <w:szCs w:val="21"/>
        </w:rPr>
        <w:t>E FORMA DE SELEÇÃO DO FORNECEDOR</w:t>
      </w:r>
    </w:p>
    <w:p>
      <w:pPr>
        <w:pStyle w:val="Normal"/>
        <w:numPr>
          <w:ilvl w:val="1"/>
          <w:numId w:val="175"/>
        </w:numPr>
        <w:spacing w:lineRule="auto" w:line="276" w:before="120" w:after="120"/>
        <w:jc w:val="both"/>
        <w:rPr>
          <w:sz w:val="21"/>
          <w:szCs w:val="21"/>
        </w:rPr>
      </w:pPr>
      <w:r>
        <w:rPr>
          <w:rFonts w:cs="Arial"/>
          <w:iCs/>
          <w:sz w:val="21"/>
          <w:szCs w:val="21"/>
        </w:rPr>
        <w:t>Trata-se de serviço comum, de caráter continuado e sem fornecimento de mão de obra em regime de dedicação exclusiva, a ser contratado mediante licitação, na modalidade pregão, em sua forma eletrônica.</w:t>
      </w:r>
    </w:p>
    <w:p>
      <w:pPr>
        <w:pStyle w:val="Normal"/>
        <w:numPr>
          <w:ilvl w:val="1"/>
          <w:numId w:val="176"/>
        </w:numPr>
        <w:spacing w:lineRule="auto" w:line="276" w:before="120" w:after="120"/>
        <w:ind w:left="425" w:hanging="0"/>
        <w:jc w:val="both"/>
        <w:rPr>
          <w:sz w:val="21"/>
          <w:szCs w:val="21"/>
        </w:rPr>
      </w:pPr>
      <w:r>
        <w:rPr>
          <w:rFonts w:cs="Arial"/>
          <w:color w:val="000000"/>
          <w:sz w:val="21"/>
          <w:szCs w:val="21"/>
        </w:rPr>
        <w:t>Os serviços a serem contratados enquadram-se nos pressupostos do Decreto n° 9.507, de 21 de setembro de 2018, não se constituindo em quaisquer das atividades, previstas no art. 3º do aludido decreto, cuja execução indireta é vedada.</w:t>
      </w:r>
    </w:p>
    <w:p>
      <w:pPr>
        <w:pStyle w:val="Normal"/>
        <w:numPr>
          <w:ilvl w:val="1"/>
          <w:numId w:val="177"/>
        </w:numPr>
        <w:spacing w:lineRule="auto" w:line="276" w:before="120" w:after="120"/>
        <w:ind w:left="425" w:hanging="0"/>
        <w:jc w:val="both"/>
        <w:rPr>
          <w:sz w:val="21"/>
          <w:szCs w:val="21"/>
        </w:rPr>
      </w:pPr>
      <w:r>
        <w:rPr>
          <w:rFonts w:cs="Arial"/>
          <w:color w:val="000000"/>
          <w:sz w:val="21"/>
          <w:szCs w:val="21"/>
        </w:rPr>
        <w:t>A prestação dos serviços não gera vínculo empregatício entre os empregados da Contratada e a Administração Contratante, vedando-se qualquer relação entre estes que caracterize pessoalidade e subordinação direta.</w:t>
      </w:r>
    </w:p>
    <w:p>
      <w:pPr>
        <w:pStyle w:val="Nivel1"/>
        <w:numPr>
          <w:ilvl w:val="0"/>
          <w:numId w:val="4"/>
        </w:numPr>
        <w:rPr>
          <w:sz w:val="21"/>
          <w:szCs w:val="21"/>
        </w:rPr>
      </w:pPr>
      <w:r>
        <w:rPr>
          <w:rFonts w:cs="Arial"/>
          <w:sz w:val="21"/>
          <w:szCs w:val="21"/>
        </w:rPr>
        <w:t>REQUISITOS DA CONTRATAÇÃO</w:t>
      </w:r>
    </w:p>
    <w:p>
      <w:pPr>
        <w:pStyle w:val="Normal"/>
        <w:suppressAutoHyphens w:val="true"/>
        <w:spacing w:before="0" w:after="120"/>
        <w:ind w:left="716" w:hanging="0"/>
        <w:jc w:val="both"/>
        <w:rPr>
          <w:rFonts w:cs="Arial"/>
          <w:sz w:val="21"/>
          <w:szCs w:val="21"/>
        </w:rPr>
      </w:pPr>
      <w:r>
        <w:rPr>
          <w:rFonts w:cs="Arial"/>
          <w:sz w:val="21"/>
          <w:szCs w:val="21"/>
        </w:rPr>
      </w:r>
    </w:p>
    <w:p>
      <w:pPr>
        <w:pStyle w:val="Normal"/>
        <w:numPr>
          <w:ilvl w:val="1"/>
          <w:numId w:val="178"/>
        </w:numPr>
        <w:suppressAutoHyphens w:val="true"/>
        <w:spacing w:before="0" w:after="120"/>
        <w:jc w:val="both"/>
        <w:rPr>
          <w:sz w:val="21"/>
          <w:szCs w:val="21"/>
        </w:rPr>
      </w:pPr>
      <w:r>
        <w:rPr>
          <w:rFonts w:cs="Arial"/>
          <w:sz w:val="21"/>
          <w:szCs w:val="21"/>
        </w:rPr>
        <w:t>Conforme Estudos Preliminares, os requisitos da contratação abrangem o seguinte:</w:t>
      </w:r>
    </w:p>
    <w:p>
      <w:pPr>
        <w:pStyle w:val="Normal"/>
        <w:numPr>
          <w:ilvl w:val="2"/>
          <w:numId w:val="179"/>
        </w:numPr>
        <w:suppressAutoHyphens w:val="true"/>
        <w:spacing w:before="0" w:after="120"/>
        <w:jc w:val="both"/>
        <w:rPr>
          <w:sz w:val="21"/>
          <w:szCs w:val="21"/>
        </w:rPr>
      </w:pPr>
      <w:r>
        <w:rPr>
          <w:rFonts w:cs="Arial"/>
          <w:sz w:val="21"/>
          <w:szCs w:val="21"/>
        </w:rPr>
        <w:t xml:space="preserve"> </w:t>
      </w:r>
      <w:r>
        <w:rPr>
          <w:rFonts w:cs="Arial"/>
          <w:sz w:val="21"/>
          <w:szCs w:val="21"/>
        </w:rPr>
        <w:t>serviço continuado, sem fornecimento de mão de obra em regime de dedicação exclusiva</w:t>
      </w:r>
      <w:r>
        <w:rPr>
          <w:rFonts w:cs="Arial"/>
          <w:i/>
          <w:iCs/>
          <w:sz w:val="21"/>
          <w:szCs w:val="21"/>
        </w:rPr>
        <w:t>;</w:t>
      </w:r>
    </w:p>
    <w:p>
      <w:pPr>
        <w:pStyle w:val="Normal"/>
        <w:numPr>
          <w:ilvl w:val="2"/>
          <w:numId w:val="180"/>
        </w:numPr>
        <w:suppressAutoHyphens w:val="true"/>
        <w:spacing w:before="0" w:after="120"/>
        <w:jc w:val="both"/>
        <w:rPr>
          <w:sz w:val="21"/>
          <w:szCs w:val="21"/>
        </w:rPr>
      </w:pPr>
      <w:r>
        <w:rPr>
          <w:rFonts w:cs="Arial"/>
          <w:i w:val="false"/>
          <w:iCs w:val="false"/>
          <w:color w:val="000000"/>
          <w:sz w:val="21"/>
          <w:szCs w:val="21"/>
        </w:rPr>
        <w:t xml:space="preserve">A remessa e entrega de documentos e objetos em atendimento às atividades acadêmicas e administrativas como exemplo: convocação de servidor, envio de projetos para financiadores, envio de documentações para outros órgãos, dentre outros documentos de âmbito administrativo ou acadêmico, configurando-se, portanto, como serviço essencial ao regular funcionamento da instituição para prestação de forma contínua, conforme o inciso II do art. 57 da Lei nº 8.666/93; </w:t>
      </w:r>
    </w:p>
    <w:p>
      <w:pPr>
        <w:pStyle w:val="Normal"/>
        <w:numPr>
          <w:ilvl w:val="2"/>
          <w:numId w:val="181"/>
        </w:numPr>
        <w:suppressAutoHyphens w:val="true"/>
        <w:spacing w:before="0" w:after="120"/>
        <w:jc w:val="both"/>
        <w:rPr>
          <w:sz w:val="21"/>
          <w:szCs w:val="21"/>
        </w:rPr>
      </w:pPr>
      <w:r>
        <w:rPr>
          <w:rFonts w:cs="Arial"/>
          <w:i w:val="false"/>
          <w:iCs w:val="false"/>
          <w:color w:val="000000"/>
          <w:sz w:val="21"/>
          <w:szCs w:val="21"/>
        </w:rPr>
        <w:t xml:space="preserve">Considerando nossas demandas e necessidades na prestação de serviço de correspondências e encomendas, a empresa deverá oferecer os serviços necessários que consiste no recebimento, coleta, transporte e entrega de mercadorias postadas de forma individualizada ou agrupada, com abrangência em todo território nacional e internacional (se necessário), para atender às necessidades da Reitoria do IF SERTÃO-PE; </w:t>
      </w:r>
    </w:p>
    <w:p>
      <w:pPr>
        <w:pStyle w:val="Normal"/>
        <w:numPr>
          <w:ilvl w:val="2"/>
          <w:numId w:val="182"/>
        </w:numPr>
        <w:suppressAutoHyphens w:val="true"/>
        <w:spacing w:before="0" w:after="120"/>
        <w:jc w:val="both"/>
        <w:rPr>
          <w:sz w:val="21"/>
          <w:szCs w:val="21"/>
        </w:rPr>
      </w:pPr>
      <w:r>
        <w:rPr>
          <w:rFonts w:cs="Arial"/>
          <w:i w:val="false"/>
          <w:iCs w:val="false"/>
          <w:color w:val="000000"/>
          <w:sz w:val="21"/>
          <w:szCs w:val="21"/>
        </w:rPr>
        <w:t xml:space="preserve">O valor será cobrado somente se houver uso/envio de acordo com cada modalidade a ser enviada; </w:t>
      </w:r>
    </w:p>
    <w:p>
      <w:pPr>
        <w:pStyle w:val="Normal"/>
        <w:numPr>
          <w:ilvl w:val="2"/>
          <w:numId w:val="183"/>
        </w:numPr>
        <w:suppressAutoHyphens w:val="true"/>
        <w:spacing w:before="0" w:after="120"/>
        <w:jc w:val="both"/>
        <w:rPr>
          <w:sz w:val="21"/>
          <w:szCs w:val="21"/>
        </w:rPr>
      </w:pPr>
      <w:r>
        <w:rPr>
          <w:rFonts w:cs="Arial"/>
          <w:i w:val="false"/>
          <w:iCs w:val="false"/>
          <w:color w:val="000000"/>
          <w:sz w:val="21"/>
          <w:szCs w:val="21"/>
        </w:rPr>
        <w:t xml:space="preserve">Cabe à Empresa manter coletores devidamente identificados e preferencialmente monitorizados e uniformizados para o fiel atendimento dos serviços contratados. Futuramente, poderá ser solicitado à empresa inclusão ou a exclusão de serviços a fim de atender a defesa do interesse público e o equilíbrio orçamentário e financeiro da Administração Pública. A inclusão de serviço(s) dar-se-á após análise da viabilidade da empresa por meio do acréscimo dos serviços no termo aditivo contratual que conterá os procedimentos pertinentes ao serviço incluído, efetivando-se quando da assinatura. </w:t>
      </w:r>
    </w:p>
    <w:p>
      <w:pPr>
        <w:pStyle w:val="Normal"/>
        <w:numPr>
          <w:ilvl w:val="2"/>
          <w:numId w:val="184"/>
        </w:numPr>
        <w:suppressAutoHyphens w:val="true"/>
        <w:spacing w:before="0" w:after="120"/>
        <w:jc w:val="both"/>
        <w:rPr>
          <w:sz w:val="21"/>
          <w:szCs w:val="21"/>
        </w:rPr>
      </w:pPr>
      <w:r>
        <w:rPr>
          <w:rFonts w:cs="Arial"/>
          <w:i w:val="false"/>
          <w:iCs w:val="false"/>
          <w:color w:val="000000"/>
          <w:sz w:val="21"/>
          <w:szCs w:val="21"/>
        </w:rPr>
        <w:t xml:space="preserve"> </w:t>
      </w:r>
      <w:r>
        <w:rPr>
          <w:rFonts w:cs="Arial"/>
          <w:i w:val="false"/>
          <w:iCs w:val="false"/>
          <w:color w:val="000000"/>
          <w:sz w:val="21"/>
          <w:szCs w:val="21"/>
        </w:rPr>
        <w:t xml:space="preserve">A exclusão ocorrerá mediante comunicação formal de qualquer uma das partes, com prova de recebimento e aviso prévio de no mínimo 30 (trinta) dias, com a devida; </w:t>
      </w:r>
    </w:p>
    <w:p>
      <w:pPr>
        <w:pStyle w:val="Normal"/>
        <w:numPr>
          <w:ilvl w:val="2"/>
          <w:numId w:val="185"/>
        </w:numPr>
        <w:suppressAutoHyphens w:val="true"/>
        <w:spacing w:before="0" w:after="120"/>
        <w:jc w:val="both"/>
        <w:rPr>
          <w:sz w:val="21"/>
          <w:szCs w:val="21"/>
        </w:rPr>
      </w:pPr>
      <w:r>
        <w:rPr>
          <w:rFonts w:cs="Arial"/>
          <w:i w:val="false"/>
          <w:iCs w:val="false"/>
          <w:color w:val="000000"/>
          <w:sz w:val="21"/>
          <w:szCs w:val="21"/>
        </w:rPr>
        <w:t xml:space="preserve">Os prazos das entregas dos serviços deverão variar de acordo com a modalidade escolhida, sendo oferecido um tipo de remessa econômica e expresso. </w:t>
      </w:r>
    </w:p>
    <w:p>
      <w:pPr>
        <w:pStyle w:val="Normal"/>
        <w:numPr>
          <w:ilvl w:val="2"/>
          <w:numId w:val="186"/>
        </w:numPr>
        <w:suppressAutoHyphens w:val="true"/>
        <w:spacing w:before="0" w:after="120"/>
        <w:jc w:val="both"/>
        <w:rPr>
          <w:sz w:val="21"/>
          <w:szCs w:val="21"/>
        </w:rPr>
      </w:pPr>
      <w:r>
        <w:rPr>
          <w:rFonts w:cs="Arial"/>
          <w:i w:val="false"/>
          <w:iCs w:val="false"/>
          <w:color w:val="000000"/>
          <w:sz w:val="21"/>
          <w:szCs w:val="21"/>
        </w:rPr>
        <w:t xml:space="preserve"> </w:t>
      </w:r>
      <w:r>
        <w:rPr>
          <w:rFonts w:cs="Arial"/>
          <w:i w:val="false"/>
          <w:iCs w:val="false"/>
          <w:color w:val="000000"/>
          <w:sz w:val="21"/>
          <w:szCs w:val="21"/>
        </w:rPr>
        <w:t xml:space="preserve">Outros itens que devem ser considerados para o valor da postagem são o peso, as dimensões e as localidades de origem e destino da remessa; </w:t>
      </w:r>
    </w:p>
    <w:p>
      <w:pPr>
        <w:pStyle w:val="Normal"/>
        <w:numPr>
          <w:ilvl w:val="2"/>
          <w:numId w:val="187"/>
        </w:numPr>
        <w:suppressAutoHyphens w:val="true"/>
        <w:spacing w:before="0" w:after="120"/>
        <w:jc w:val="both"/>
        <w:rPr>
          <w:sz w:val="21"/>
          <w:szCs w:val="21"/>
        </w:rPr>
      </w:pPr>
      <w:r>
        <w:rPr>
          <w:rFonts w:cs="Arial"/>
          <w:i w:val="false"/>
          <w:iCs w:val="false"/>
          <w:color w:val="000000"/>
          <w:sz w:val="21"/>
          <w:szCs w:val="21"/>
        </w:rPr>
        <w:t xml:space="preserve"> </w:t>
      </w:r>
      <w:r>
        <w:rPr>
          <w:rFonts w:cs="Arial"/>
          <w:i w:val="false"/>
          <w:iCs w:val="false"/>
          <w:color w:val="000000"/>
          <w:sz w:val="21"/>
          <w:szCs w:val="21"/>
        </w:rPr>
        <w:t xml:space="preserve">Serviço de natureza contínua; </w:t>
      </w:r>
    </w:p>
    <w:p>
      <w:pPr>
        <w:pStyle w:val="Normal"/>
        <w:numPr>
          <w:ilvl w:val="2"/>
          <w:numId w:val="188"/>
        </w:numPr>
        <w:suppressAutoHyphens w:val="true"/>
        <w:spacing w:before="0" w:after="120"/>
        <w:jc w:val="both"/>
        <w:rPr>
          <w:sz w:val="21"/>
          <w:szCs w:val="21"/>
        </w:rPr>
      </w:pPr>
      <w:r>
        <w:rPr>
          <w:rFonts w:cs="Arial"/>
          <w:i w:val="false"/>
          <w:iCs w:val="false"/>
          <w:color w:val="000000"/>
          <w:sz w:val="21"/>
          <w:szCs w:val="21"/>
        </w:rPr>
        <w:t xml:space="preserve">A duração do contrato será de 60 (sessenta) meses, em substituição ao contrato atual, mantendo o mesmo número do contrato, dos cartões de postagem e dos percursos de malote, garantindo a normalidade da operação. Os termos e condições dos serviços prestados seguem o padrão adotado pela Empresa Brasileira de Correios e Telégrafos – ECT, conforme contrato 16077580 / 9912393494. Todas as correspondências processadas são institucionais de uso exclusivo das unidades acadêmicas e administrativas do IF SERTÃO-PE; </w:t>
      </w:r>
    </w:p>
    <w:p>
      <w:pPr>
        <w:pStyle w:val="ListParagraph"/>
        <w:numPr>
          <w:ilvl w:val="1"/>
          <w:numId w:val="189"/>
        </w:numPr>
        <w:jc w:val="both"/>
        <w:rPr>
          <w:sz w:val="21"/>
          <w:szCs w:val="21"/>
        </w:rPr>
      </w:pPr>
      <w:r>
        <w:rPr>
          <w:rFonts w:cs="Arial"/>
          <w:i w:val="false"/>
          <w:iCs w:val="false"/>
          <w:color w:val="000000"/>
          <w:sz w:val="21"/>
          <w:szCs w:val="21"/>
        </w:rPr>
        <w:t>Além dos pontos acima, o adjudicatário deverá apresentar declaração de que tem pleno conhecimento das condições necessárias para a prestação do serviço como requisito para celebração do contrato.</w:t>
      </w:r>
    </w:p>
    <w:p>
      <w:pPr>
        <w:pStyle w:val="Nivel1"/>
        <w:numPr>
          <w:ilvl w:val="0"/>
          <w:numId w:val="4"/>
        </w:numPr>
        <w:spacing w:before="480" w:after="120"/>
        <w:ind w:left="360" w:hanging="360"/>
        <w:rPr>
          <w:sz w:val="21"/>
          <w:szCs w:val="21"/>
        </w:rPr>
      </w:pPr>
      <w:r>
        <w:rPr>
          <w:rFonts w:eastAsia="Calibri" w:cs="Arial"/>
          <w:i w:val="false"/>
          <w:iCs w:val="false"/>
          <w:color w:val="000000"/>
          <w:kern w:val="0"/>
          <w:sz w:val="21"/>
          <w:szCs w:val="21"/>
          <w:shd w:fill="auto" w:val="clear"/>
          <w:lang w:val="x-none" w:eastAsia="pt-BR" w:bidi="ar-SA"/>
        </w:rPr>
        <w:t>CRITÉRIOS DE SUSTENTABILIDADE</w:t>
      </w:r>
    </w:p>
    <w:p>
      <w:pPr>
        <w:pStyle w:val="Normal"/>
        <w:numPr>
          <w:ilvl w:val="1"/>
          <w:numId w:val="190"/>
        </w:numPr>
        <w:suppressAutoHyphens w:val="true"/>
        <w:spacing w:lineRule="auto" w:line="276" w:before="0" w:after="120"/>
        <w:jc w:val="both"/>
        <w:rPr>
          <w:sz w:val="21"/>
          <w:szCs w:val="21"/>
        </w:rPr>
      </w:pPr>
      <w:r>
        <w:rPr>
          <w:rFonts w:eastAsia="Calibri" w:cs="Arial"/>
          <w:b w:val="false"/>
          <w:bCs/>
          <w:i w:val="false"/>
          <w:iCs w:val="false"/>
          <w:color w:val="000000"/>
          <w:kern w:val="0"/>
          <w:sz w:val="21"/>
          <w:szCs w:val="21"/>
          <w:u w:val="none"/>
          <w:shd w:fill="auto" w:val="clear"/>
          <w:lang w:val="x-none" w:eastAsia="pt-BR" w:bidi="ar-SA"/>
        </w:rPr>
        <w:t>Conforme o Tópico 14 do ETP 34/2022 e</w:t>
      </w:r>
      <w:r>
        <w:rPr>
          <w:rFonts w:eastAsia="Times New Roman" w:cs="Arial"/>
          <w:b w:val="false"/>
          <w:bCs/>
          <w:i w:val="false"/>
          <w:iCs w:val="false"/>
          <w:color w:val="000000"/>
          <w:kern w:val="0"/>
          <w:sz w:val="21"/>
          <w:szCs w:val="21"/>
          <w:u w:val="none"/>
          <w:shd w:fill="auto" w:val="clear"/>
          <w:lang w:val="pt-BR" w:eastAsia="pt-BR" w:bidi="ar-SA"/>
        </w:rPr>
        <w:t xml:space="preserve">m questões ambientais, a proposta prevê o uso de sistema com o propósito de preparar e gerenciar as postagens </w:t>
      </w:r>
      <w:r>
        <w:rPr>
          <w:rFonts w:eastAsia="Times New Roman" w:cs="Arial"/>
          <w:i w:val="false"/>
          <w:iCs w:val="false"/>
          <w:color w:val="000000"/>
          <w:kern w:val="0"/>
          <w:sz w:val="21"/>
          <w:szCs w:val="21"/>
          <w:lang w:val="pt-BR" w:eastAsia="pt-BR" w:bidi="ar-SA"/>
        </w:rPr>
        <w:t>tendo com isso, economia de recursos e papel.</w:t>
      </w:r>
    </w:p>
    <w:p>
      <w:pPr>
        <w:pStyle w:val="Nivel1"/>
        <w:numPr>
          <w:ilvl w:val="0"/>
          <w:numId w:val="4"/>
        </w:numPr>
        <w:rPr>
          <w:sz w:val="21"/>
          <w:szCs w:val="21"/>
        </w:rPr>
      </w:pPr>
      <w:r>
        <w:rPr>
          <w:rFonts w:eastAsia="Calibri" w:cs="Arial"/>
          <w:bCs/>
          <w:i/>
          <w:iCs/>
          <w:color w:val="000000"/>
          <w:kern w:val="0"/>
          <w:sz w:val="21"/>
          <w:szCs w:val="21"/>
          <w:lang w:val="x-none" w:eastAsia="pt-BR" w:bidi="ar-SA"/>
        </w:rPr>
        <w:t>VISTORIA PARA A LICITAÇÃO</w:t>
      </w:r>
    </w:p>
    <w:p>
      <w:pPr>
        <w:pStyle w:val="Normal"/>
        <w:suppressAutoHyphens w:val="true"/>
        <w:spacing w:before="0" w:after="120"/>
        <w:jc w:val="both"/>
        <w:rPr>
          <w:rFonts w:cs="Arial"/>
          <w:b/>
          <w:b/>
          <w:i/>
          <w:i/>
          <w:iCs/>
          <w:color w:val="000000"/>
          <w:sz w:val="21"/>
          <w:szCs w:val="21"/>
        </w:rPr>
      </w:pPr>
      <w:r>
        <w:rPr>
          <w:rFonts w:cs="Arial"/>
          <w:b/>
          <w:i/>
          <w:iCs/>
          <w:color w:val="000000"/>
          <w:sz w:val="21"/>
          <w:szCs w:val="21"/>
        </w:rPr>
      </w:r>
    </w:p>
    <w:p>
      <w:pPr>
        <w:pStyle w:val="Normal"/>
        <w:numPr>
          <w:ilvl w:val="1"/>
          <w:numId w:val="191"/>
        </w:numPr>
        <w:suppressAutoHyphens w:val="true"/>
        <w:spacing w:before="0" w:after="120"/>
        <w:jc w:val="both"/>
        <w:rPr>
          <w:sz w:val="21"/>
          <w:szCs w:val="21"/>
        </w:rPr>
      </w:pPr>
      <w:r>
        <w:rPr>
          <w:rFonts w:eastAsia="Times New Roman" w:cs="Arial"/>
          <w:b w:val="false"/>
          <w:bCs w:val="false"/>
          <w:i w:val="false"/>
          <w:iCs w:val="false"/>
          <w:color w:val="000000"/>
          <w:kern w:val="0"/>
          <w:sz w:val="21"/>
          <w:szCs w:val="21"/>
          <w:u w:val="none"/>
          <w:lang w:val="pt-BR" w:eastAsia="pt-BR" w:bidi="ar-SA"/>
        </w:rPr>
        <w:t xml:space="preserve">Não há necessidade de vistoria para esta contratação. </w:t>
      </w:r>
    </w:p>
    <w:p>
      <w:pPr>
        <w:pStyle w:val="Nivel1"/>
        <w:numPr>
          <w:ilvl w:val="0"/>
          <w:numId w:val="4"/>
        </w:numPr>
        <w:rPr>
          <w:sz w:val="21"/>
          <w:szCs w:val="21"/>
        </w:rPr>
      </w:pPr>
      <w:r>
        <w:rPr>
          <w:rFonts w:cs="Arial"/>
          <w:color w:val="000000"/>
          <w:sz w:val="21"/>
          <w:szCs w:val="21"/>
        </w:rPr>
        <w:t>MODELO DE EXECUÇÃO DO OBJETO</w:t>
      </w:r>
    </w:p>
    <w:p>
      <w:pPr>
        <w:pStyle w:val="Normal"/>
        <w:suppressAutoHyphens w:val="true"/>
        <w:spacing w:before="0" w:after="120"/>
        <w:ind w:left="716" w:hanging="0"/>
        <w:jc w:val="both"/>
        <w:rPr>
          <w:rFonts w:cs="Arial"/>
          <w:color w:val="000000"/>
          <w:sz w:val="21"/>
          <w:szCs w:val="21"/>
        </w:rPr>
      </w:pPr>
      <w:r>
        <w:rPr>
          <w:rFonts w:cs="Arial"/>
          <w:color w:val="000000"/>
          <w:sz w:val="21"/>
          <w:szCs w:val="21"/>
        </w:rPr>
      </w:r>
    </w:p>
    <w:p>
      <w:pPr>
        <w:pStyle w:val="Normal"/>
        <w:numPr>
          <w:ilvl w:val="1"/>
          <w:numId w:val="192"/>
        </w:numPr>
        <w:suppressAutoHyphens w:val="true"/>
        <w:spacing w:before="0" w:after="120"/>
        <w:jc w:val="both"/>
        <w:rPr>
          <w:sz w:val="21"/>
          <w:szCs w:val="21"/>
        </w:rPr>
      </w:pPr>
      <w:r>
        <w:rPr>
          <w:rFonts w:cs="Arial"/>
          <w:color w:val="000000"/>
          <w:sz w:val="21"/>
          <w:szCs w:val="21"/>
        </w:rPr>
        <w:t>A execução do objeto seguirá a seguinte dinâmica:</w:t>
      </w:r>
    </w:p>
    <w:p>
      <w:pPr>
        <w:pStyle w:val="Normal"/>
        <w:numPr>
          <w:ilvl w:val="2"/>
          <w:numId w:val="193"/>
        </w:numPr>
        <w:suppressAutoHyphens w:val="true"/>
        <w:spacing w:before="0" w:after="120"/>
        <w:jc w:val="both"/>
        <w:rPr>
          <w:sz w:val="21"/>
          <w:szCs w:val="21"/>
        </w:rPr>
      </w:pPr>
      <w:r>
        <w:rPr>
          <w:rFonts w:cs="Arial"/>
          <w:i w:val="false"/>
          <w:iCs w:val="false"/>
          <w:color w:val="000000"/>
          <w:sz w:val="21"/>
          <w:szCs w:val="21"/>
        </w:rPr>
        <w:t xml:space="preserve"> </w:t>
      </w:r>
      <w:r>
        <w:rPr>
          <w:rFonts w:cs="Arial"/>
          <w:i w:val="false"/>
          <w:iCs w:val="false"/>
          <w:color w:val="000000"/>
          <w:sz w:val="21"/>
          <w:szCs w:val="21"/>
        </w:rPr>
        <w:t xml:space="preserve">Os serviços serão prestados nos moldes do contrato atual junto à Empresa Brasileira de Correios e Telégrafos - ECT pois é uma Empresa Pública criada para este fim e tem sua prestação de serviço e contratação padronizada para prestação de serviços postais de recebimento, transporte e entrega no território nacional e internacional de encomendas. </w:t>
      </w:r>
    </w:p>
    <w:p>
      <w:pPr>
        <w:pStyle w:val="Normal"/>
        <w:numPr>
          <w:ilvl w:val="2"/>
          <w:numId w:val="194"/>
        </w:numPr>
        <w:suppressAutoHyphens w:val="true"/>
        <w:spacing w:before="0" w:after="120"/>
        <w:jc w:val="both"/>
        <w:rPr>
          <w:sz w:val="21"/>
          <w:szCs w:val="21"/>
        </w:rPr>
      </w:pPr>
      <w:r>
        <w:rPr>
          <w:rFonts w:cs="Arial"/>
          <w:i w:val="false"/>
          <w:iCs w:val="false"/>
          <w:color w:val="000000"/>
          <w:sz w:val="21"/>
          <w:szCs w:val="21"/>
        </w:rPr>
        <w:t xml:space="preserve"> </w:t>
      </w:r>
      <w:r>
        <w:rPr>
          <w:rFonts w:cs="Arial"/>
          <w:i w:val="false"/>
          <w:iCs w:val="false"/>
          <w:color w:val="000000"/>
          <w:sz w:val="21"/>
          <w:szCs w:val="21"/>
        </w:rPr>
        <w:t xml:space="preserve">Diante do cenário apresentado para contratação, considerando as reais demandas do Instituto Federal do Sertão Pernambucano a forma de contratação que melhor se adequa é através de inexigibilidade. A empresa é detentora de todos os serviços necessários e possui monopólio. </w:t>
      </w:r>
    </w:p>
    <w:p>
      <w:pPr>
        <w:pStyle w:val="Normal"/>
        <w:numPr>
          <w:ilvl w:val="2"/>
          <w:numId w:val="195"/>
        </w:numPr>
        <w:suppressAutoHyphens w:val="true"/>
        <w:spacing w:before="0" w:after="120"/>
        <w:jc w:val="both"/>
        <w:rPr>
          <w:sz w:val="21"/>
          <w:szCs w:val="21"/>
        </w:rPr>
      </w:pPr>
      <w:r>
        <w:rPr>
          <w:rFonts w:cs="Arial"/>
          <w:i w:val="false"/>
          <w:iCs w:val="false"/>
          <w:color w:val="000000"/>
          <w:sz w:val="21"/>
          <w:szCs w:val="21"/>
        </w:rPr>
        <w:t xml:space="preserve"> </w:t>
      </w:r>
      <w:r>
        <w:rPr>
          <w:rFonts w:cs="Arial"/>
          <w:i w:val="false"/>
          <w:iCs w:val="false"/>
          <w:color w:val="000000"/>
          <w:sz w:val="21"/>
          <w:szCs w:val="21"/>
        </w:rPr>
        <w:t>A contratação da ECT configura-se vantajosa em virtude da área geográfica de atendimento, pois possui cobertura em todo o território brasileiro e internacional, operando com abrangência e logística comercial necessária pela administração,</w:t>
      </w:r>
      <w:r>
        <w:rPr>
          <w:rFonts w:cs="Arial"/>
          <w:i/>
          <w:iCs/>
          <w:color w:val="000000"/>
          <w:sz w:val="21"/>
          <w:szCs w:val="21"/>
        </w:rPr>
        <w:t xml:space="preserve"> </w:t>
      </w:r>
      <w:r>
        <w:rPr>
          <w:rFonts w:cs="Arial"/>
          <w:i w:val="false"/>
          <w:iCs w:val="false"/>
          <w:color w:val="000000"/>
          <w:sz w:val="21"/>
          <w:szCs w:val="21"/>
        </w:rPr>
        <w:t xml:space="preserve">assim torna-se economicamente vantajoso para a administração a referida contratação, tendo em vista possuir a maior abrangência de distribuição de encomendas no país. </w:t>
      </w:r>
    </w:p>
    <w:p>
      <w:pPr>
        <w:pStyle w:val="Normal"/>
        <w:numPr>
          <w:ilvl w:val="2"/>
          <w:numId w:val="196"/>
        </w:numPr>
        <w:suppressAutoHyphens w:val="true"/>
        <w:spacing w:before="0" w:after="120"/>
        <w:jc w:val="both"/>
        <w:rPr>
          <w:sz w:val="21"/>
          <w:szCs w:val="21"/>
        </w:rPr>
      </w:pPr>
      <w:r>
        <w:rPr>
          <w:rFonts w:cs="Arial"/>
          <w:i w:val="false"/>
          <w:iCs w:val="false"/>
          <w:color w:val="000000"/>
          <w:sz w:val="21"/>
          <w:szCs w:val="21"/>
        </w:rPr>
        <w:t xml:space="preserve">Ao realizar a contratação com os Correios, o IFSERTÃO-PE receberá um Cartão que permitirá utilização das soluções contratadas, obtendo vantagens como: Postagem em qualquer agência dos Correios em todo o Brasil, pagamento através de boleto bancário, com faturamento mensal; Possibilidade de utilização de ferramentas gratuitas como SIGEP WEB – Sistema de Gerenciamento de Postagem, que permite a geração automática dos rótulos de endereçamento e os códigos de rastreamento para as modalidades registradas; </w:t>
      </w:r>
    </w:p>
    <w:p>
      <w:pPr>
        <w:pStyle w:val="ListParagraph"/>
        <w:numPr>
          <w:ilvl w:val="1"/>
          <w:numId w:val="197"/>
        </w:numPr>
        <w:jc w:val="both"/>
        <w:rPr>
          <w:sz w:val="21"/>
          <w:szCs w:val="21"/>
        </w:rPr>
      </w:pPr>
      <w:r>
        <w:rPr>
          <w:rFonts w:eastAsia="Times New Roman" w:cs="Tahoma"/>
          <w:i w:val="false"/>
          <w:iCs w:val="false"/>
          <w:color w:val="000000"/>
          <w:kern w:val="0"/>
          <w:sz w:val="21"/>
          <w:szCs w:val="21"/>
          <w:lang w:val="pt-BR" w:eastAsia="pt-BR" w:bidi="ar-SA"/>
        </w:rPr>
        <w:t>A execução dos serviços será iniciada após a data de aprestação da Ordem de Serviço expedida pelo IFSertãoPE/Reitoria  na forma que segue:</w:t>
      </w:r>
    </w:p>
    <w:p>
      <w:pPr>
        <w:pStyle w:val="ListParagraph"/>
        <w:numPr>
          <w:ilvl w:val="0"/>
          <w:numId w:val="0"/>
        </w:numPr>
        <w:ind w:left="716" w:hanging="0"/>
        <w:jc w:val="both"/>
        <w:rPr>
          <w:rFonts w:ascii="Arial" w:hAnsi="Arial" w:eastAsia="Times New Roman" w:cs="Tahoma"/>
          <w:color w:val="000000"/>
          <w:kern w:val="0"/>
          <w:sz w:val="21"/>
          <w:szCs w:val="21"/>
          <w:lang w:val="pt-BR" w:eastAsia="pt-BR" w:bidi="ar-SA"/>
        </w:rPr>
      </w:pPr>
      <w:r>
        <w:rPr>
          <w:rFonts w:eastAsia="Times New Roman" w:cs="Tahoma"/>
          <w:color w:val="000000"/>
          <w:kern w:val="0"/>
          <w:sz w:val="21"/>
          <w:szCs w:val="21"/>
          <w:lang w:val="pt-BR" w:eastAsia="pt-BR" w:bidi="ar-SA"/>
        </w:rPr>
      </w:r>
    </w:p>
    <w:p>
      <w:pPr>
        <w:pStyle w:val="ListParagraph"/>
        <w:widowControl/>
        <w:numPr>
          <w:ilvl w:val="2"/>
          <w:numId w:val="198"/>
        </w:numPr>
        <w:suppressAutoHyphens w:val="true"/>
        <w:bidi w:val="0"/>
        <w:spacing w:lineRule="auto" w:line="240" w:before="0" w:after="0"/>
        <w:ind w:left="1984" w:right="0" w:hanging="510"/>
        <w:contextualSpacing/>
        <w:jc w:val="both"/>
        <w:rPr>
          <w:sz w:val="21"/>
          <w:szCs w:val="21"/>
        </w:rPr>
      </w:pPr>
      <w:r>
        <w:rPr>
          <w:rFonts w:eastAsia="Times New Roman" w:cs="Tahoma"/>
          <w:i w:val="false"/>
          <w:iCs w:val="false"/>
          <w:color w:val="000000"/>
          <w:kern w:val="0"/>
          <w:sz w:val="21"/>
          <w:szCs w:val="21"/>
          <w:lang w:val="pt-BR" w:eastAsia="pt-BR" w:bidi="ar-SA"/>
        </w:rPr>
        <w:t>No prazo de no máximo 10(dez) dias após a emissão da OS a contratada deverá iniciar a prestação dos serviços a necessidade do IFSertãoPE/Reitoria, sob pena de aplicação das penalidades prescritas neste Termo.</w:t>
      </w:r>
    </w:p>
    <w:p>
      <w:pPr>
        <w:pStyle w:val="ListParagraph"/>
        <w:widowControl/>
        <w:numPr>
          <w:ilvl w:val="0"/>
          <w:numId w:val="0"/>
        </w:numPr>
        <w:suppressAutoHyphens w:val="true"/>
        <w:bidi w:val="0"/>
        <w:spacing w:lineRule="auto" w:line="240" w:before="0" w:after="0"/>
        <w:ind w:left="1984" w:right="0" w:hanging="0"/>
        <w:contextualSpacing/>
        <w:jc w:val="both"/>
        <w:rPr>
          <w:color w:val="000000"/>
          <w:sz w:val="21"/>
          <w:szCs w:val="21"/>
        </w:rPr>
      </w:pPr>
      <w:r>
        <w:rPr>
          <w:color w:val="000000"/>
          <w:sz w:val="21"/>
          <w:szCs w:val="21"/>
        </w:rPr>
      </w:r>
    </w:p>
    <w:p>
      <w:pPr>
        <w:pStyle w:val="ListParagraph"/>
        <w:widowControl/>
        <w:numPr>
          <w:ilvl w:val="2"/>
          <w:numId w:val="199"/>
        </w:numPr>
        <w:suppressAutoHyphens w:val="true"/>
        <w:bidi w:val="0"/>
        <w:spacing w:lineRule="auto" w:line="240" w:before="0" w:after="0"/>
        <w:ind w:left="1984" w:right="0" w:hanging="510"/>
        <w:contextualSpacing/>
        <w:jc w:val="both"/>
        <w:rPr>
          <w:sz w:val="21"/>
          <w:szCs w:val="21"/>
        </w:rPr>
      </w:pPr>
      <w:r>
        <w:rPr>
          <w:rFonts w:eastAsia="Times New Roman" w:cs="Tahoma"/>
          <w:i w:val="false"/>
          <w:iCs w:val="false"/>
          <w:color w:val="000000"/>
          <w:kern w:val="0"/>
          <w:sz w:val="21"/>
          <w:szCs w:val="21"/>
          <w:lang w:val="pt-BR" w:eastAsia="pt-BR" w:bidi="ar-SA"/>
        </w:rPr>
        <w:t xml:space="preserve">O serviço postal é prestado pela Empresa Brasileira de Correios e Telégrafos, empresa pública, entidade da Administração Indireta da União, criada pelo Decreto - Lei nº. 509/1969. </w:t>
      </w:r>
    </w:p>
    <w:p>
      <w:pPr>
        <w:pStyle w:val="ListParagraph"/>
        <w:widowControl/>
        <w:numPr>
          <w:ilvl w:val="0"/>
          <w:numId w:val="0"/>
        </w:numPr>
        <w:suppressAutoHyphens w:val="true"/>
        <w:bidi w:val="0"/>
        <w:spacing w:lineRule="auto" w:line="240" w:before="0" w:after="0"/>
        <w:ind w:left="1984" w:right="0" w:hanging="0"/>
        <w:contextualSpacing/>
        <w:jc w:val="both"/>
        <w:rPr>
          <w:color w:val="000000"/>
          <w:sz w:val="21"/>
          <w:szCs w:val="21"/>
        </w:rPr>
      </w:pPr>
      <w:r>
        <w:rPr>
          <w:color w:val="000000"/>
          <w:sz w:val="21"/>
          <w:szCs w:val="21"/>
        </w:rPr>
      </w:r>
    </w:p>
    <w:p>
      <w:pPr>
        <w:pStyle w:val="ListParagraph"/>
        <w:widowControl/>
        <w:numPr>
          <w:ilvl w:val="2"/>
          <w:numId w:val="200"/>
        </w:numPr>
        <w:suppressAutoHyphens w:val="true"/>
        <w:bidi w:val="0"/>
        <w:spacing w:lineRule="auto" w:line="240" w:before="0" w:after="0"/>
        <w:ind w:left="1984" w:right="0" w:hanging="510"/>
        <w:contextualSpacing/>
        <w:jc w:val="both"/>
        <w:rPr>
          <w:sz w:val="21"/>
          <w:szCs w:val="21"/>
        </w:rPr>
      </w:pPr>
      <w:r>
        <w:rPr>
          <w:rFonts w:eastAsia="Times New Roman" w:cs="Tahoma"/>
          <w:i w:val="false"/>
          <w:iCs w:val="false"/>
          <w:color w:val="000000"/>
          <w:kern w:val="0"/>
          <w:sz w:val="21"/>
          <w:szCs w:val="21"/>
          <w:lang w:val="pt-BR" w:eastAsia="pt-BR" w:bidi="ar-SA"/>
        </w:rPr>
        <w:t xml:space="preserve">O privilégio (monopólio) da Empresa Brasileira de Correios e Telégrafos está restrito às atividades postais descritas nos argos 7º, 9º e 27 da Lei nº 6.538/78, ou seja, cartas, cartões-postais, telegramas e correspondências agrupadas. </w:t>
      </w:r>
    </w:p>
    <w:p>
      <w:pPr>
        <w:pStyle w:val="ListParagraph"/>
        <w:widowControl/>
        <w:numPr>
          <w:ilvl w:val="0"/>
          <w:numId w:val="0"/>
        </w:numPr>
        <w:suppressAutoHyphens w:val="true"/>
        <w:bidi w:val="0"/>
        <w:spacing w:lineRule="auto" w:line="240" w:before="0" w:after="0"/>
        <w:ind w:left="1984" w:right="0" w:hanging="0"/>
        <w:contextualSpacing/>
        <w:jc w:val="both"/>
        <w:rPr>
          <w:color w:val="000000"/>
          <w:sz w:val="21"/>
          <w:szCs w:val="21"/>
        </w:rPr>
      </w:pPr>
      <w:r>
        <w:rPr>
          <w:color w:val="000000"/>
          <w:sz w:val="21"/>
          <w:szCs w:val="21"/>
        </w:rPr>
      </w:r>
    </w:p>
    <w:p>
      <w:pPr>
        <w:pStyle w:val="ListParagraph"/>
        <w:widowControl/>
        <w:numPr>
          <w:ilvl w:val="2"/>
          <w:numId w:val="201"/>
        </w:numPr>
        <w:suppressAutoHyphens w:val="true"/>
        <w:bidi w:val="0"/>
        <w:spacing w:lineRule="auto" w:line="240" w:before="0" w:after="0"/>
        <w:ind w:left="1984" w:right="0" w:hanging="510"/>
        <w:contextualSpacing/>
        <w:jc w:val="both"/>
        <w:rPr>
          <w:sz w:val="21"/>
          <w:szCs w:val="21"/>
        </w:rPr>
      </w:pPr>
      <w:r>
        <w:rPr>
          <w:rFonts w:eastAsia="Times New Roman" w:cs="Tahoma"/>
          <w:i w:val="false"/>
          <w:iCs w:val="false"/>
          <w:color w:val="000000"/>
          <w:kern w:val="0"/>
          <w:sz w:val="21"/>
          <w:szCs w:val="21"/>
          <w:lang w:val="pt-BR" w:eastAsia="pt-BR" w:bidi="ar-SA"/>
        </w:rPr>
        <w:t xml:space="preserve">A Constituição da República Federava do Brasil - 1988 confere à União, em caráter exclusivo, a exploração do serviço postal e o correio aéreo nacional (art. 21, inciso X). </w:t>
      </w:r>
    </w:p>
    <w:p>
      <w:pPr>
        <w:pStyle w:val="ListParagraph"/>
        <w:widowControl/>
        <w:numPr>
          <w:ilvl w:val="0"/>
          <w:numId w:val="0"/>
        </w:numPr>
        <w:suppressAutoHyphens w:val="true"/>
        <w:bidi w:val="0"/>
        <w:spacing w:lineRule="auto" w:line="240" w:before="0" w:after="0"/>
        <w:ind w:left="1984" w:right="0" w:hanging="0"/>
        <w:contextualSpacing/>
        <w:jc w:val="both"/>
        <w:rPr>
          <w:color w:val="000000"/>
          <w:sz w:val="21"/>
          <w:szCs w:val="21"/>
        </w:rPr>
      </w:pPr>
      <w:r>
        <w:rPr>
          <w:color w:val="000000"/>
          <w:sz w:val="21"/>
          <w:szCs w:val="21"/>
        </w:rPr>
      </w:r>
    </w:p>
    <w:p>
      <w:pPr>
        <w:pStyle w:val="ListParagraph"/>
        <w:widowControl/>
        <w:numPr>
          <w:ilvl w:val="2"/>
          <w:numId w:val="202"/>
        </w:numPr>
        <w:suppressAutoHyphens w:val="true"/>
        <w:bidi w:val="0"/>
        <w:spacing w:lineRule="auto" w:line="240" w:before="0" w:after="0"/>
        <w:ind w:left="1984" w:right="0" w:hanging="510"/>
        <w:contextualSpacing/>
        <w:jc w:val="both"/>
        <w:rPr>
          <w:sz w:val="21"/>
          <w:szCs w:val="21"/>
        </w:rPr>
      </w:pPr>
      <w:r>
        <w:rPr>
          <w:rFonts w:eastAsia="Times New Roman" w:cs="Tahoma"/>
          <w:i w:val="false"/>
          <w:iCs w:val="false"/>
          <w:color w:val="000000"/>
          <w:kern w:val="0"/>
          <w:sz w:val="21"/>
          <w:szCs w:val="21"/>
          <w:lang w:val="pt-BR" w:eastAsia="pt-BR" w:bidi="ar-SA"/>
        </w:rPr>
        <w:t>Os preços e tarifas a serem cobrados pela Empresa Brasileira de Correios e Telégrafos são válidos em todo o território nacional e regulados pelo Ministério da Ciência, Tecnologia, Inovações e Comunicações, em conformidade com o Art. 70, I da Lei nº 9.069, de 29 de junho de 1995, combinada com a Portaria n°152 de 09 de julho de 1997 do Ministério da Fazenda.</w:t>
      </w:r>
    </w:p>
    <w:p>
      <w:pPr>
        <w:pStyle w:val="ListParagraph"/>
        <w:widowControl/>
        <w:numPr>
          <w:ilvl w:val="0"/>
          <w:numId w:val="0"/>
        </w:numPr>
        <w:suppressAutoHyphens w:val="true"/>
        <w:bidi w:val="0"/>
        <w:spacing w:lineRule="auto" w:line="240" w:before="0" w:after="0"/>
        <w:ind w:left="1984" w:right="0" w:hanging="0"/>
        <w:contextualSpacing/>
        <w:jc w:val="both"/>
        <w:rPr>
          <w:sz w:val="21"/>
          <w:szCs w:val="21"/>
        </w:rPr>
      </w:pPr>
      <w:r>
        <w:rPr>
          <w:rFonts w:eastAsia="Times New Roman" w:cs="Tahoma"/>
          <w:i w:val="false"/>
          <w:iCs w:val="false"/>
          <w:color w:val="000000"/>
          <w:kern w:val="0"/>
          <w:sz w:val="21"/>
          <w:szCs w:val="21"/>
          <w:lang w:val="pt-BR" w:eastAsia="pt-BR" w:bidi="ar-SA"/>
        </w:rPr>
        <w:t xml:space="preserve"> </w:t>
      </w:r>
    </w:p>
    <w:p>
      <w:pPr>
        <w:pStyle w:val="ListParagraph"/>
        <w:widowControl/>
        <w:numPr>
          <w:ilvl w:val="2"/>
          <w:numId w:val="203"/>
        </w:numPr>
        <w:suppressAutoHyphens w:val="true"/>
        <w:bidi w:val="0"/>
        <w:spacing w:lineRule="auto" w:line="240" w:before="0" w:after="0"/>
        <w:ind w:left="1984" w:right="0" w:hanging="510"/>
        <w:contextualSpacing/>
        <w:jc w:val="both"/>
        <w:rPr>
          <w:sz w:val="21"/>
          <w:szCs w:val="21"/>
        </w:rPr>
      </w:pPr>
      <w:r>
        <w:rPr>
          <w:rFonts w:eastAsia="Times New Roman" w:cs="Tahoma"/>
          <w:i w:val="false"/>
          <w:iCs w:val="false"/>
          <w:color w:val="000000"/>
          <w:kern w:val="0"/>
          <w:sz w:val="21"/>
          <w:szCs w:val="21"/>
          <w:lang w:val="pt-BR" w:eastAsia="pt-BR" w:bidi="ar-SA"/>
        </w:rPr>
        <w:t xml:space="preserve">Os serviços a serem contratados enquadram-se nos pressupostos do Decreto n° 9.507, de 21 de setembro de 2018, não se construindo em quaisquer das atividades, previstas no art. 3º do aludido decreto, cuja execução indireta é vedada. </w:t>
      </w:r>
    </w:p>
    <w:p>
      <w:pPr>
        <w:pStyle w:val="ListParagraph"/>
        <w:widowControl/>
        <w:numPr>
          <w:ilvl w:val="0"/>
          <w:numId w:val="0"/>
        </w:numPr>
        <w:suppressAutoHyphens w:val="true"/>
        <w:bidi w:val="0"/>
        <w:spacing w:lineRule="auto" w:line="240" w:before="0" w:after="0"/>
        <w:ind w:left="1984" w:right="0" w:hanging="0"/>
        <w:contextualSpacing/>
        <w:jc w:val="both"/>
        <w:rPr>
          <w:color w:val="000000"/>
          <w:sz w:val="21"/>
          <w:szCs w:val="21"/>
        </w:rPr>
      </w:pPr>
      <w:r>
        <w:rPr>
          <w:color w:val="000000"/>
          <w:sz w:val="21"/>
          <w:szCs w:val="21"/>
        </w:rPr>
      </w:r>
    </w:p>
    <w:p>
      <w:pPr>
        <w:pStyle w:val="ListParagraph"/>
        <w:widowControl/>
        <w:numPr>
          <w:ilvl w:val="2"/>
          <w:numId w:val="204"/>
        </w:numPr>
        <w:suppressAutoHyphens w:val="true"/>
        <w:bidi w:val="0"/>
        <w:spacing w:lineRule="auto" w:line="240" w:before="0" w:after="0"/>
        <w:ind w:left="1984" w:right="0" w:hanging="510"/>
        <w:contextualSpacing/>
        <w:jc w:val="both"/>
        <w:rPr>
          <w:sz w:val="21"/>
          <w:szCs w:val="21"/>
        </w:rPr>
      </w:pPr>
      <w:r>
        <w:rPr>
          <w:rFonts w:eastAsia="Times New Roman" w:cs="Tahoma"/>
          <w:i w:val="false"/>
          <w:iCs w:val="false"/>
          <w:color w:val="000000"/>
          <w:kern w:val="0"/>
          <w:sz w:val="21"/>
          <w:szCs w:val="21"/>
          <w:lang w:val="pt-BR" w:eastAsia="pt-BR" w:bidi="ar-SA"/>
        </w:rPr>
        <w:t>A prestação dos serviços não gera vínculo empregatício entre os empregados da Contratada e a Administração Contratante, vedando-se qualquer relação entre estes que caracterize pessoalidade e subordinação direta.</w:t>
      </w:r>
    </w:p>
    <w:p>
      <w:pPr>
        <w:pStyle w:val="ListParagraph"/>
        <w:widowControl/>
        <w:numPr>
          <w:ilvl w:val="0"/>
          <w:numId w:val="0"/>
        </w:numPr>
        <w:suppressAutoHyphens w:val="true"/>
        <w:bidi w:val="0"/>
        <w:spacing w:lineRule="auto" w:line="240" w:before="0" w:after="0"/>
        <w:ind w:left="1984" w:right="0" w:hanging="0"/>
        <w:contextualSpacing/>
        <w:jc w:val="both"/>
        <w:rPr>
          <w:sz w:val="21"/>
          <w:szCs w:val="21"/>
        </w:rPr>
      </w:pPr>
      <w:r>
        <w:rPr>
          <w:rFonts w:eastAsia="Times New Roman" w:cs="Tahoma"/>
          <w:i w:val="false"/>
          <w:iCs w:val="false"/>
          <w:color w:val="000000"/>
          <w:kern w:val="0"/>
          <w:sz w:val="21"/>
          <w:szCs w:val="21"/>
          <w:lang w:val="pt-BR" w:eastAsia="pt-BR" w:bidi="ar-SA"/>
        </w:rPr>
        <w:t xml:space="preserve"> </w:t>
      </w:r>
    </w:p>
    <w:p>
      <w:pPr>
        <w:pStyle w:val="ListParagraph"/>
        <w:widowControl/>
        <w:numPr>
          <w:ilvl w:val="2"/>
          <w:numId w:val="205"/>
        </w:numPr>
        <w:suppressAutoHyphens w:val="true"/>
        <w:bidi w:val="0"/>
        <w:spacing w:lineRule="auto" w:line="240" w:before="0" w:after="0"/>
        <w:ind w:left="1984" w:right="0" w:hanging="510"/>
        <w:contextualSpacing/>
        <w:jc w:val="both"/>
        <w:rPr>
          <w:sz w:val="21"/>
          <w:szCs w:val="21"/>
        </w:rPr>
      </w:pPr>
      <w:r>
        <w:rPr>
          <w:rFonts w:eastAsia="Times New Roman" w:cs="Tahoma"/>
          <w:i w:val="false"/>
          <w:iCs w:val="false"/>
          <w:color w:val="000000"/>
          <w:kern w:val="0"/>
          <w:sz w:val="21"/>
          <w:szCs w:val="21"/>
          <w:lang w:val="pt-BR" w:eastAsia="pt-BR" w:bidi="ar-SA"/>
        </w:rPr>
        <w:t>O Contrato a ser firmado, obedece a um modelo padrão disponibilizado pelos Correios.</w:t>
      </w:r>
    </w:p>
    <w:p>
      <w:pPr>
        <w:pStyle w:val="ListParagraph"/>
        <w:widowControl/>
        <w:numPr>
          <w:ilvl w:val="0"/>
          <w:numId w:val="0"/>
        </w:numPr>
        <w:suppressAutoHyphens w:val="true"/>
        <w:bidi w:val="0"/>
        <w:spacing w:lineRule="auto" w:line="240" w:before="0" w:after="0"/>
        <w:ind w:left="1984" w:right="0" w:hanging="0"/>
        <w:contextualSpacing/>
        <w:jc w:val="both"/>
        <w:rPr>
          <w:color w:val="000000"/>
          <w:sz w:val="21"/>
          <w:szCs w:val="21"/>
        </w:rPr>
      </w:pPr>
      <w:r>
        <w:rPr>
          <w:color w:val="000000"/>
          <w:sz w:val="21"/>
          <w:szCs w:val="21"/>
        </w:rPr>
      </w:r>
    </w:p>
    <w:p>
      <w:pPr>
        <w:pStyle w:val="ListParagraph"/>
        <w:widowControl/>
        <w:numPr>
          <w:ilvl w:val="2"/>
          <w:numId w:val="206"/>
        </w:numPr>
        <w:suppressAutoHyphens w:val="true"/>
        <w:bidi w:val="0"/>
        <w:spacing w:lineRule="auto" w:line="240" w:before="0" w:after="0"/>
        <w:ind w:left="1984" w:right="0" w:hanging="510"/>
        <w:contextualSpacing/>
        <w:jc w:val="both"/>
        <w:rPr>
          <w:sz w:val="21"/>
          <w:szCs w:val="21"/>
        </w:rPr>
      </w:pPr>
      <w:r>
        <w:rPr>
          <w:rFonts w:eastAsia="Times New Roman" w:cs="Tahoma"/>
          <w:i w:val="false"/>
          <w:iCs w:val="false"/>
          <w:color w:val="000000"/>
          <w:kern w:val="0"/>
          <w:sz w:val="21"/>
          <w:szCs w:val="21"/>
          <w:lang w:val="pt-BR" w:eastAsia="pt-BR" w:bidi="ar-SA"/>
        </w:rPr>
        <w:t>As postagens poderão ser realizadas nas Unidades dos Correios previamente acordadas com os Correios, mediante a apresentação do Cartão de Postagem.</w:t>
      </w:r>
    </w:p>
    <w:p>
      <w:pPr>
        <w:pStyle w:val="ListParagraph"/>
        <w:widowControl/>
        <w:numPr>
          <w:ilvl w:val="0"/>
          <w:numId w:val="0"/>
        </w:numPr>
        <w:suppressAutoHyphens w:val="true"/>
        <w:bidi w:val="0"/>
        <w:spacing w:lineRule="auto" w:line="240" w:before="0" w:after="0"/>
        <w:ind w:left="1984" w:right="0" w:hanging="0"/>
        <w:contextualSpacing/>
        <w:jc w:val="both"/>
        <w:rPr>
          <w:color w:val="000000"/>
          <w:sz w:val="21"/>
          <w:szCs w:val="21"/>
        </w:rPr>
      </w:pPr>
      <w:r>
        <w:rPr>
          <w:color w:val="000000"/>
          <w:sz w:val="21"/>
          <w:szCs w:val="21"/>
        </w:rPr>
      </w:r>
    </w:p>
    <w:p>
      <w:pPr>
        <w:pStyle w:val="ListParagraph"/>
        <w:widowControl/>
        <w:numPr>
          <w:ilvl w:val="2"/>
          <w:numId w:val="207"/>
        </w:numPr>
        <w:suppressAutoHyphens w:val="true"/>
        <w:bidi w:val="0"/>
        <w:spacing w:lineRule="auto" w:line="240" w:before="0" w:after="0"/>
        <w:ind w:left="1984" w:right="0" w:hanging="510"/>
        <w:contextualSpacing/>
        <w:jc w:val="both"/>
        <w:rPr>
          <w:sz w:val="21"/>
          <w:szCs w:val="21"/>
        </w:rPr>
      </w:pPr>
      <w:r>
        <w:rPr>
          <w:rFonts w:eastAsia="Times New Roman" w:cs="Tahoma"/>
          <w:i w:val="false"/>
          <w:iCs w:val="false"/>
          <w:color w:val="000000"/>
          <w:kern w:val="0"/>
          <w:sz w:val="21"/>
          <w:szCs w:val="21"/>
          <w:lang w:val="pt-BR" w:eastAsia="pt-BR" w:bidi="ar-SA"/>
        </w:rPr>
        <w:t xml:space="preserve">As postagens serão realizadas nos horários de funcionamento das Unidades dos Correios. </w:t>
      </w:r>
    </w:p>
    <w:p>
      <w:pPr>
        <w:pStyle w:val="ListParagraph"/>
        <w:widowControl/>
        <w:numPr>
          <w:ilvl w:val="0"/>
          <w:numId w:val="0"/>
        </w:numPr>
        <w:suppressAutoHyphens w:val="true"/>
        <w:bidi w:val="0"/>
        <w:spacing w:lineRule="auto" w:line="240" w:before="0" w:after="0"/>
        <w:ind w:left="1984" w:right="0" w:hanging="0"/>
        <w:contextualSpacing/>
        <w:jc w:val="both"/>
        <w:rPr>
          <w:color w:val="000000"/>
          <w:sz w:val="21"/>
          <w:szCs w:val="21"/>
        </w:rPr>
      </w:pPr>
      <w:r>
        <w:rPr>
          <w:color w:val="000000"/>
          <w:sz w:val="21"/>
          <w:szCs w:val="21"/>
        </w:rPr>
      </w:r>
    </w:p>
    <w:p>
      <w:pPr>
        <w:pStyle w:val="ListParagraph"/>
        <w:widowControl/>
        <w:numPr>
          <w:ilvl w:val="2"/>
          <w:numId w:val="208"/>
        </w:numPr>
        <w:suppressAutoHyphens w:val="true"/>
        <w:bidi w:val="0"/>
        <w:spacing w:lineRule="auto" w:line="240" w:before="0" w:after="0"/>
        <w:ind w:left="1984" w:right="0" w:hanging="510"/>
        <w:contextualSpacing/>
        <w:jc w:val="both"/>
        <w:rPr>
          <w:sz w:val="21"/>
          <w:szCs w:val="21"/>
        </w:rPr>
      </w:pPr>
      <w:r>
        <w:rPr>
          <w:rFonts w:eastAsia="Times New Roman" w:cs="Tahoma"/>
          <w:i w:val="false"/>
          <w:iCs w:val="false"/>
          <w:color w:val="000000"/>
          <w:kern w:val="0"/>
          <w:sz w:val="21"/>
          <w:szCs w:val="21"/>
          <w:lang w:val="pt-BR" w:eastAsia="pt-BR" w:bidi="ar-SA"/>
        </w:rPr>
        <w:t>Os serviços serão prestados (postagens) na frequência, periodicidade e quantidades demandados pela Contratante.</w:t>
      </w:r>
    </w:p>
    <w:p>
      <w:pPr>
        <w:pStyle w:val="Nivel1"/>
        <w:numPr>
          <w:ilvl w:val="0"/>
          <w:numId w:val="4"/>
        </w:numPr>
        <w:spacing w:lineRule="auto" w:line="240"/>
        <w:rPr>
          <w:sz w:val="21"/>
          <w:szCs w:val="21"/>
        </w:rPr>
      </w:pPr>
      <w:r>
        <w:rPr>
          <w:rFonts w:eastAsia="Times New Roman" w:cs="Tahoma"/>
          <w:bCs/>
          <w:i w:val="false"/>
          <w:iCs w:val="false"/>
          <w:color w:val="000000"/>
          <w:kern w:val="0"/>
          <w:sz w:val="21"/>
          <w:szCs w:val="21"/>
          <w:lang w:val="pt-BR" w:eastAsia="pt-BR" w:bidi="ar-SA"/>
        </w:rPr>
        <w:t>INFORMAÇÕES RELEVANTES PARA O DIMENSIONAMENTO DA PROPOSTA</w:t>
      </w:r>
    </w:p>
    <w:p>
      <w:pPr>
        <w:pStyle w:val="Normal"/>
        <w:numPr>
          <w:ilvl w:val="1"/>
          <w:numId w:val="209"/>
        </w:numPr>
        <w:spacing w:lineRule="auto" w:line="276" w:before="120" w:after="120"/>
        <w:ind w:left="425" w:hanging="0"/>
        <w:jc w:val="both"/>
        <w:rPr>
          <w:sz w:val="21"/>
          <w:szCs w:val="21"/>
        </w:rPr>
      </w:pPr>
      <w:r>
        <w:rPr>
          <w:rFonts w:eastAsia="Times New Roman" w:cs="Tahoma"/>
          <w:bCs/>
          <w:i w:val="false"/>
          <w:iCs w:val="false"/>
          <w:color w:val="000000"/>
          <w:kern w:val="0"/>
          <w:sz w:val="21"/>
          <w:szCs w:val="21"/>
          <w:lang w:val="pt-BR" w:eastAsia="pt-BR" w:bidi="ar-SA"/>
        </w:rPr>
        <w:t>A demanda do órgão tem como base as seguintes características:</w:t>
      </w:r>
    </w:p>
    <w:p>
      <w:pPr>
        <w:pStyle w:val="Normal"/>
        <w:numPr>
          <w:ilvl w:val="2"/>
          <w:numId w:val="210"/>
        </w:numPr>
        <w:spacing w:lineRule="auto" w:line="276" w:before="120" w:after="120"/>
        <w:ind w:left="1134" w:hanging="0"/>
        <w:jc w:val="both"/>
        <w:rPr>
          <w:sz w:val="21"/>
          <w:szCs w:val="21"/>
        </w:rPr>
      </w:pPr>
      <w:r>
        <w:rPr>
          <w:rFonts w:eastAsia="Times New Roman" w:cs="Tahoma"/>
          <w:bCs/>
          <w:i w:val="false"/>
          <w:iCs w:val="false"/>
          <w:color w:val="000000"/>
          <w:kern w:val="0"/>
          <w:sz w:val="21"/>
          <w:szCs w:val="21"/>
          <w:lang w:val="pt-BR" w:eastAsia="pt-BR" w:bidi="ar-SA"/>
        </w:rPr>
        <w:t xml:space="preserve">Os serviços objeto deste Termo de Referência serão solicitados mediante Nota de Empenho, a </w:t>
      </w:r>
      <w:r>
        <w:rPr>
          <w:rFonts w:eastAsia="Times New Roman" w:cs="Tahoma"/>
          <w:i w:val="false"/>
          <w:iCs w:val="false"/>
          <w:color w:val="000000"/>
          <w:kern w:val="0"/>
          <w:sz w:val="21"/>
          <w:szCs w:val="21"/>
          <w:lang w:val="pt-BR" w:eastAsia="pt-BR" w:bidi="ar-SA"/>
        </w:rPr>
        <w:t>ser enviada por correspondência eletrônica (e-mail), sendo obrigatória a confirmação de rece</w:t>
      </w:r>
      <w:r>
        <w:rPr>
          <w:rFonts w:eastAsia="Times New Roman" w:cs="Tahoma"/>
          <w:i w:val="false"/>
          <w:iCs w:val="false"/>
          <w:color w:val="auto"/>
          <w:kern w:val="0"/>
          <w:sz w:val="21"/>
          <w:szCs w:val="21"/>
          <w:lang w:val="pt-BR" w:eastAsia="pt-BR" w:bidi="ar-SA"/>
        </w:rPr>
        <w:t>bimento pela empresa.</w:t>
      </w:r>
    </w:p>
    <w:p>
      <w:pPr>
        <w:pStyle w:val="ListParagraph"/>
        <w:numPr>
          <w:ilvl w:val="2"/>
          <w:numId w:val="211"/>
        </w:numPr>
        <w:spacing w:lineRule="auto" w:line="276" w:before="120" w:after="120"/>
        <w:ind w:left="1134" w:hanging="0"/>
        <w:contextualSpacing w:val="false"/>
        <w:jc w:val="both"/>
        <w:rPr>
          <w:sz w:val="21"/>
          <w:szCs w:val="21"/>
        </w:rPr>
      </w:pPr>
      <w:r>
        <w:rPr>
          <w:rFonts w:eastAsia="Times New Roman" w:cs="Tahoma"/>
          <w:bCs/>
          <w:i w:val="false"/>
          <w:iCs w:val="false"/>
          <w:color w:val="auto"/>
          <w:kern w:val="0"/>
          <w:sz w:val="21"/>
          <w:szCs w:val="21"/>
          <w:lang w:val="pt-BR" w:eastAsia="pt-BR" w:bidi="ar-SA"/>
        </w:rPr>
        <w:t xml:space="preserve">Os serviços objeto desta contratação a saber carta simples, carta registrada e malote são prestados com exclusividade pela empresa brasileira de Correios e Telégrafos, em caráter de monopólio. </w:t>
      </w:r>
    </w:p>
    <w:p>
      <w:pPr>
        <w:pStyle w:val="Normal"/>
        <w:numPr>
          <w:ilvl w:val="2"/>
          <w:numId w:val="212"/>
        </w:numPr>
        <w:spacing w:lineRule="auto" w:line="276" w:before="120" w:after="120"/>
        <w:ind w:left="1134" w:hanging="0"/>
        <w:jc w:val="both"/>
        <w:rPr>
          <w:sz w:val="21"/>
          <w:szCs w:val="21"/>
        </w:rPr>
      </w:pPr>
      <w:r>
        <w:rPr>
          <w:rFonts w:eastAsia="Times New Roman" w:cs="Tahoma"/>
          <w:bCs/>
          <w:i w:val="false"/>
          <w:iCs w:val="false"/>
          <w:color w:val="auto"/>
          <w:kern w:val="0"/>
          <w:sz w:val="21"/>
          <w:szCs w:val="21"/>
          <w:lang w:val="pt-BR" w:eastAsia="pt-BR" w:bidi="ar-SA"/>
        </w:rPr>
        <w:t>Os serviços são</w:t>
      </w:r>
      <w:r>
        <w:rPr>
          <w:rFonts w:eastAsia="Times New Roman" w:cs="Tahoma"/>
          <w:i w:val="false"/>
          <w:iCs w:val="false"/>
          <w:color w:val="auto"/>
          <w:kern w:val="0"/>
          <w:sz w:val="21"/>
          <w:szCs w:val="21"/>
          <w:lang w:val="pt-BR" w:eastAsia="pt-BR" w:bidi="ar-SA"/>
        </w:rPr>
        <w:t xml:space="preserve"> de exclusividade da ECT e será realizada através de </w:t>
      </w:r>
      <w:r>
        <w:rPr>
          <w:rFonts w:eastAsia="Times New Roman" w:cs="Tahoma"/>
          <w:b/>
          <w:i w:val="false"/>
          <w:iCs w:val="false"/>
          <w:color w:val="auto"/>
          <w:kern w:val="0"/>
          <w:sz w:val="21"/>
          <w:szCs w:val="21"/>
          <w:lang w:val="pt-BR" w:eastAsia="pt-BR" w:bidi="ar-SA"/>
        </w:rPr>
        <w:t>contratação</w:t>
      </w:r>
      <w:bookmarkStart w:id="1" w:name="_Hlk528056197"/>
      <w:bookmarkEnd w:id="1"/>
      <w:r>
        <w:rPr>
          <w:rFonts w:eastAsia="Times New Roman" w:cs="Tahoma"/>
          <w:b/>
          <w:i w:val="false"/>
          <w:iCs w:val="false"/>
          <w:color w:val="auto"/>
          <w:kern w:val="0"/>
          <w:sz w:val="21"/>
          <w:szCs w:val="21"/>
          <w:lang w:val="pt-BR" w:eastAsia="pt-BR" w:bidi="ar-SA"/>
        </w:rPr>
        <w:t xml:space="preserve"> direta</w:t>
      </w:r>
      <w:r>
        <w:rPr>
          <w:rFonts w:eastAsia="Times New Roman" w:cs="Tahoma"/>
          <w:i w:val="false"/>
          <w:iCs w:val="false"/>
          <w:color w:val="auto"/>
          <w:kern w:val="0"/>
          <w:sz w:val="21"/>
          <w:szCs w:val="21"/>
          <w:lang w:val="pt-BR" w:eastAsia="pt-BR" w:bidi="ar-SA"/>
        </w:rPr>
        <w:t xml:space="preserve">, sendo </w:t>
      </w:r>
      <w:r>
        <w:rPr>
          <w:rFonts w:eastAsia="Times New Roman" w:cs="Tahoma"/>
          <w:b/>
          <w:i w:val="false"/>
          <w:iCs w:val="false"/>
          <w:color w:val="auto"/>
          <w:kern w:val="0"/>
          <w:sz w:val="21"/>
          <w:szCs w:val="21"/>
          <w:lang w:val="pt-BR" w:eastAsia="pt-BR" w:bidi="ar-SA"/>
        </w:rPr>
        <w:t>inexigível a licitação</w:t>
      </w:r>
      <w:r>
        <w:rPr>
          <w:rFonts w:eastAsia="Times New Roman" w:cs="Tahoma"/>
          <w:i w:val="false"/>
          <w:iCs w:val="false"/>
          <w:color w:val="auto"/>
          <w:kern w:val="0"/>
          <w:sz w:val="21"/>
          <w:szCs w:val="21"/>
          <w:lang w:val="pt-BR" w:eastAsia="pt-BR" w:bidi="ar-SA"/>
        </w:rPr>
        <w:t xml:space="preserve">, nos termos do </w:t>
      </w:r>
      <w:r>
        <w:rPr>
          <w:rFonts w:eastAsia="Times New Roman" w:cs="Tahoma"/>
          <w:b/>
          <w:i w:val="false"/>
          <w:iCs w:val="false"/>
          <w:color w:val="auto"/>
          <w:kern w:val="0"/>
          <w:sz w:val="21"/>
          <w:szCs w:val="21"/>
          <w:lang w:val="pt-BR" w:eastAsia="pt-BR" w:bidi="ar-SA"/>
        </w:rPr>
        <w:t>artigo 25, caput da Lei 8.666/93.</w:t>
      </w:r>
    </w:p>
    <w:p>
      <w:pPr>
        <w:pStyle w:val="Normal"/>
        <w:numPr>
          <w:ilvl w:val="2"/>
          <w:numId w:val="213"/>
        </w:numPr>
        <w:spacing w:lineRule="auto" w:line="276" w:before="120" w:after="120"/>
        <w:ind w:left="1134" w:hanging="0"/>
        <w:jc w:val="both"/>
        <w:rPr>
          <w:sz w:val="21"/>
          <w:szCs w:val="21"/>
        </w:rPr>
      </w:pPr>
      <w:r>
        <w:rPr>
          <w:rFonts w:eastAsia="Times New Roman" w:cs="Tahoma"/>
          <w:b/>
          <w:i w:val="false"/>
          <w:iCs w:val="false"/>
          <w:color w:val="auto"/>
          <w:kern w:val="0"/>
          <w:sz w:val="21"/>
          <w:szCs w:val="21"/>
          <w:lang w:val="pt-BR" w:eastAsia="pt-BR" w:bidi="ar-SA"/>
        </w:rPr>
        <w:t>A execução dos serviços será iniciada a partir da data de assinatura do Contrato.</w:t>
      </w:r>
    </w:p>
    <w:p>
      <w:pPr>
        <w:pStyle w:val="Nivel1"/>
        <w:numPr>
          <w:ilvl w:val="0"/>
          <w:numId w:val="4"/>
        </w:numPr>
        <w:rPr>
          <w:sz w:val="21"/>
          <w:szCs w:val="21"/>
        </w:rPr>
      </w:pPr>
      <w:r>
        <w:rPr>
          <w:rFonts w:cs="Arial"/>
          <w:sz w:val="21"/>
          <w:szCs w:val="21"/>
          <w:lang w:eastAsia="en-US"/>
        </w:rPr>
        <w:t>OBRIGAÇÕES DA CONTRATANTE</w:t>
      </w:r>
    </w:p>
    <w:p>
      <w:pPr>
        <w:pStyle w:val="Normal"/>
        <w:numPr>
          <w:ilvl w:val="1"/>
          <w:numId w:val="214"/>
        </w:numPr>
        <w:spacing w:lineRule="auto" w:line="276" w:before="120" w:after="120"/>
        <w:ind w:left="425" w:hanging="0"/>
        <w:jc w:val="both"/>
        <w:rPr>
          <w:sz w:val="21"/>
          <w:szCs w:val="21"/>
        </w:rPr>
      </w:pPr>
      <w:r>
        <w:rPr>
          <w:rFonts w:cs="Arial"/>
          <w:color w:val="000000"/>
          <w:sz w:val="21"/>
          <w:szCs w:val="21"/>
        </w:rPr>
        <w:t>Exigir o cumprimento de todas as obrigações assumidas pela Contratada, de acordo com as cláusulas contratuais e os termos de sua proposta;</w:t>
      </w:r>
    </w:p>
    <w:p>
      <w:pPr>
        <w:pStyle w:val="Normal"/>
        <w:numPr>
          <w:ilvl w:val="1"/>
          <w:numId w:val="215"/>
        </w:numPr>
        <w:spacing w:lineRule="auto" w:line="276" w:before="120" w:after="120"/>
        <w:ind w:left="425" w:hanging="0"/>
        <w:jc w:val="both"/>
        <w:rPr>
          <w:sz w:val="21"/>
          <w:szCs w:val="21"/>
        </w:rPr>
      </w:pPr>
      <w:r>
        <w:rPr>
          <w:rFonts w:cs="Arial"/>
          <w:color w:val="000000"/>
          <w:sz w:val="21"/>
          <w:szCs w:val="21"/>
        </w:rPr>
        <w:t>Exercer o acompanhamento e a fiscalização dos serviços, por servidor ou comissão especialmente designados, anotando em registro próprio as falhas detectadas, indicando dia, mês e ano, bem como o nome dos empregados eventualmente envolvidos, e encaminhando os apontamentos à autoridade competente para as providências cabíveis;</w:t>
      </w:r>
    </w:p>
    <w:p>
      <w:pPr>
        <w:pStyle w:val="Normal"/>
        <w:numPr>
          <w:ilvl w:val="1"/>
          <w:numId w:val="216"/>
        </w:numPr>
        <w:spacing w:lineRule="auto" w:line="276" w:before="120" w:after="120"/>
        <w:ind w:left="425" w:hanging="0"/>
        <w:jc w:val="both"/>
        <w:rPr>
          <w:sz w:val="21"/>
          <w:szCs w:val="21"/>
        </w:rPr>
      </w:pPr>
      <w:r>
        <w:rPr>
          <w:rFonts w:cs="Arial"/>
          <w:color w:val="000000"/>
          <w:sz w:val="21"/>
          <w:szCs w:val="21"/>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pPr>
        <w:pStyle w:val="Normal"/>
        <w:numPr>
          <w:ilvl w:val="1"/>
          <w:numId w:val="217"/>
        </w:numPr>
        <w:spacing w:lineRule="auto" w:line="276" w:before="120" w:after="120"/>
        <w:ind w:left="425" w:hanging="0"/>
        <w:jc w:val="both"/>
        <w:rPr>
          <w:sz w:val="21"/>
          <w:szCs w:val="21"/>
        </w:rPr>
      </w:pPr>
      <w:r>
        <w:rPr>
          <w:rFonts w:cs="Arial"/>
          <w:color w:val="000000"/>
          <w:sz w:val="21"/>
          <w:szCs w:val="21"/>
        </w:rPr>
        <w:t>Pagar à Contratada o valor resultante da prestação do serviço, no prazo e condições estabelecidas neste Termo de Referência;</w:t>
      </w:r>
    </w:p>
    <w:p>
      <w:pPr>
        <w:pStyle w:val="Normal"/>
        <w:numPr>
          <w:ilvl w:val="1"/>
          <w:numId w:val="218"/>
        </w:numPr>
        <w:spacing w:lineRule="auto" w:line="276" w:before="120" w:after="120"/>
        <w:ind w:left="425" w:hanging="0"/>
        <w:jc w:val="both"/>
        <w:rPr>
          <w:sz w:val="21"/>
          <w:szCs w:val="21"/>
        </w:rPr>
      </w:pPr>
      <w:r>
        <w:rPr>
          <w:rFonts w:cs="Arial"/>
          <w:color w:val="000000"/>
          <w:sz w:val="21"/>
          <w:szCs w:val="21"/>
        </w:rPr>
        <w:t>Efetuar as retenções tributárias devidas sobre o valor da Nota Fiscal/Fatura da contratada, no que couber, em conformidade com o item 6 do Anexo XI da IN SEGES/MP n. 5/2017.</w:t>
      </w:r>
    </w:p>
    <w:p>
      <w:pPr>
        <w:pStyle w:val="Normal"/>
        <w:numPr>
          <w:ilvl w:val="1"/>
          <w:numId w:val="219"/>
        </w:numPr>
        <w:spacing w:lineRule="auto" w:line="276" w:before="120" w:after="120"/>
        <w:ind w:left="425" w:hanging="0"/>
        <w:jc w:val="both"/>
        <w:rPr>
          <w:sz w:val="21"/>
          <w:szCs w:val="21"/>
        </w:rPr>
      </w:pPr>
      <w:r>
        <w:rPr>
          <w:rFonts w:cs="Arial"/>
          <w:color w:val="000000"/>
          <w:sz w:val="21"/>
          <w:szCs w:val="21"/>
        </w:rPr>
        <w:t>Não praticar atos de ingerência na administração da Contratada, tais como:</w:t>
      </w:r>
    </w:p>
    <w:p>
      <w:pPr>
        <w:pStyle w:val="ListParagraph"/>
        <w:numPr>
          <w:ilvl w:val="2"/>
          <w:numId w:val="220"/>
        </w:numPr>
        <w:spacing w:lineRule="auto" w:line="276" w:before="120" w:after="120"/>
        <w:ind w:left="1134" w:hanging="0"/>
        <w:contextualSpacing w:val="false"/>
        <w:jc w:val="both"/>
        <w:rPr>
          <w:sz w:val="21"/>
          <w:szCs w:val="21"/>
        </w:rPr>
      </w:pPr>
      <w:r>
        <w:rPr>
          <w:rFonts w:cs="Arial"/>
          <w:color w:val="000000"/>
          <w:sz w:val="21"/>
          <w:szCs w:val="21"/>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pPr>
        <w:pStyle w:val="ListParagraph"/>
        <w:numPr>
          <w:ilvl w:val="2"/>
          <w:numId w:val="221"/>
        </w:numPr>
        <w:spacing w:lineRule="auto" w:line="276" w:before="120" w:after="120"/>
        <w:ind w:left="1134" w:hanging="0"/>
        <w:contextualSpacing w:val="false"/>
        <w:jc w:val="both"/>
        <w:rPr>
          <w:sz w:val="21"/>
          <w:szCs w:val="21"/>
        </w:rPr>
      </w:pPr>
      <w:r>
        <w:rPr>
          <w:rFonts w:cs="Arial"/>
          <w:color w:val="000000"/>
          <w:sz w:val="21"/>
          <w:szCs w:val="21"/>
        </w:rPr>
        <w:t>direcionar a contratação de pessoas para trabalhar nas empresas Contratadas;</w:t>
      </w:r>
    </w:p>
    <w:p>
      <w:pPr>
        <w:pStyle w:val="ListParagraph"/>
        <w:numPr>
          <w:ilvl w:val="2"/>
          <w:numId w:val="222"/>
        </w:numPr>
        <w:spacing w:lineRule="auto" w:line="276" w:before="120" w:after="120"/>
        <w:ind w:left="1134" w:hanging="0"/>
        <w:contextualSpacing w:val="false"/>
        <w:jc w:val="both"/>
        <w:rPr>
          <w:sz w:val="21"/>
          <w:szCs w:val="21"/>
        </w:rPr>
      </w:pPr>
      <w:r>
        <w:rPr>
          <w:rFonts w:cs="Arial"/>
          <w:color w:val="000000"/>
          <w:sz w:val="21"/>
          <w:szCs w:val="21"/>
        </w:rPr>
        <w:t>promover ou aceitar o desvio de funções dos trabalhadores da Contratada, mediante a utilização destes em atividades distintas daquelas previstas no objeto da contratação e em relação à função específica para a qual o trabalhador foi contratado; e</w:t>
      </w:r>
    </w:p>
    <w:p>
      <w:pPr>
        <w:pStyle w:val="ListParagraph"/>
        <w:numPr>
          <w:ilvl w:val="2"/>
          <w:numId w:val="223"/>
        </w:numPr>
        <w:spacing w:lineRule="auto" w:line="276" w:before="120" w:after="120"/>
        <w:ind w:left="1134" w:hanging="0"/>
        <w:contextualSpacing w:val="false"/>
        <w:jc w:val="both"/>
        <w:rPr>
          <w:sz w:val="21"/>
          <w:szCs w:val="21"/>
        </w:rPr>
      </w:pPr>
      <w:r>
        <w:rPr>
          <w:rFonts w:cs="Arial"/>
          <w:color w:val="000000"/>
          <w:sz w:val="21"/>
          <w:szCs w:val="21"/>
        </w:rPr>
        <w:t>considerar os trabalhadores da Contratada como colaboradores eventuais do próprio órgão ou entidade responsável pela contratação, especialmente para efeito de concessão de diárias e passagens.</w:t>
      </w:r>
    </w:p>
    <w:p>
      <w:pPr>
        <w:pStyle w:val="Normal"/>
        <w:numPr>
          <w:ilvl w:val="1"/>
          <w:numId w:val="224"/>
        </w:numPr>
        <w:spacing w:lineRule="auto" w:line="276" w:before="120" w:after="120"/>
        <w:ind w:left="425" w:hanging="0"/>
        <w:jc w:val="both"/>
        <w:rPr>
          <w:sz w:val="21"/>
          <w:szCs w:val="21"/>
        </w:rPr>
      </w:pPr>
      <w:r>
        <w:rPr>
          <w:rFonts w:cs="Arial"/>
          <w:sz w:val="21"/>
          <w:szCs w:val="21"/>
        </w:rPr>
        <w:t xml:space="preserve">Fornecer por escrito as informações necessárias para o desenvolvimento dos serviços objeto </w:t>
      </w:r>
      <w:r>
        <w:rPr>
          <w:rFonts w:cs="Arial"/>
          <w:color w:val="000000"/>
          <w:sz w:val="21"/>
          <w:szCs w:val="21"/>
        </w:rPr>
        <w:t>do contrato;</w:t>
      </w:r>
    </w:p>
    <w:p>
      <w:pPr>
        <w:pStyle w:val="Normal"/>
        <w:numPr>
          <w:ilvl w:val="1"/>
          <w:numId w:val="225"/>
        </w:numPr>
        <w:spacing w:lineRule="auto" w:line="276" w:before="120" w:after="120"/>
        <w:ind w:left="425" w:hanging="0"/>
        <w:jc w:val="both"/>
        <w:rPr>
          <w:sz w:val="21"/>
          <w:szCs w:val="21"/>
        </w:rPr>
      </w:pPr>
      <w:r>
        <w:rPr>
          <w:rFonts w:cs="Arial"/>
          <w:color w:val="000000"/>
          <w:sz w:val="21"/>
          <w:szCs w:val="21"/>
        </w:rPr>
        <w:t>Realizar avaliações periódicas da qualidade dos serviços, após seu recebimento;</w:t>
      </w:r>
    </w:p>
    <w:p>
      <w:pPr>
        <w:pStyle w:val="Normal"/>
        <w:numPr>
          <w:ilvl w:val="1"/>
          <w:numId w:val="226"/>
        </w:numPr>
        <w:spacing w:lineRule="auto" w:line="276" w:before="120" w:after="120"/>
        <w:ind w:left="425" w:hanging="0"/>
        <w:jc w:val="both"/>
        <w:rPr>
          <w:sz w:val="21"/>
          <w:szCs w:val="21"/>
        </w:rPr>
      </w:pPr>
      <w:r>
        <w:rPr>
          <w:rFonts w:cs="Arial"/>
          <w:color w:val="000000"/>
          <w:sz w:val="21"/>
          <w:szCs w:val="21"/>
        </w:rPr>
        <w:t xml:space="preserve">Cientificar o órgão de representação judicial da Advocacia-Geral da União para adoção das medidas cabíveis quando do descumprimento das obrigações pela Contratada; </w:t>
      </w:r>
    </w:p>
    <w:p>
      <w:pPr>
        <w:pStyle w:val="Normal"/>
        <w:numPr>
          <w:ilvl w:val="1"/>
          <w:numId w:val="227"/>
        </w:numPr>
        <w:spacing w:lineRule="auto" w:line="276" w:before="120" w:after="120"/>
        <w:ind w:left="426" w:hanging="0"/>
        <w:jc w:val="both"/>
        <w:rPr>
          <w:sz w:val="21"/>
          <w:szCs w:val="21"/>
        </w:rPr>
      </w:pPr>
      <w:r>
        <w:rPr>
          <w:rFonts w:cs="Arial"/>
          <w:color w:val="000000"/>
          <w:sz w:val="21"/>
          <w:szCs w:val="21"/>
        </w:rPr>
        <w:t>Fiscalizar o cumprimento dos requisitos legais, quando a contratada houver se beneficiado da preferência estabelecida pelo art. 3º, § 5º, da Lei nº 8.666, de 1993.</w:t>
      </w:r>
    </w:p>
    <w:p>
      <w:pPr>
        <w:pStyle w:val="Normal"/>
        <w:numPr>
          <w:ilvl w:val="1"/>
          <w:numId w:val="228"/>
        </w:numPr>
        <w:spacing w:lineRule="auto" w:line="276" w:before="120" w:after="120"/>
        <w:ind w:left="425" w:hanging="0"/>
        <w:jc w:val="both"/>
        <w:rPr>
          <w:sz w:val="21"/>
          <w:szCs w:val="21"/>
        </w:rPr>
      </w:pPr>
      <w:r>
        <w:rPr>
          <w:rFonts w:cs="Arial"/>
          <w:color w:val="000000"/>
          <w:sz w:val="21"/>
          <w:szCs w:val="21"/>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pPr>
        <w:pStyle w:val="Nivel1"/>
        <w:numPr>
          <w:ilvl w:val="0"/>
          <w:numId w:val="4"/>
        </w:numPr>
        <w:rPr>
          <w:sz w:val="21"/>
          <w:szCs w:val="21"/>
        </w:rPr>
      </w:pPr>
      <w:r>
        <w:rPr>
          <w:rFonts w:cs="Arial"/>
          <w:sz w:val="21"/>
          <w:szCs w:val="21"/>
        </w:rPr>
        <w:t>OBRIGAÇÕES DA CONTRATADA</w:t>
      </w:r>
    </w:p>
    <w:p>
      <w:pPr>
        <w:pStyle w:val="Normal"/>
        <w:numPr>
          <w:ilvl w:val="1"/>
          <w:numId w:val="229"/>
        </w:numPr>
        <w:spacing w:lineRule="auto" w:line="276" w:before="120" w:after="120"/>
        <w:ind w:left="425" w:hanging="0"/>
        <w:jc w:val="both"/>
        <w:rPr>
          <w:sz w:val="21"/>
          <w:szCs w:val="21"/>
        </w:rPr>
      </w:pPr>
      <w:r>
        <w:rPr>
          <w:rFonts w:cs="Arial"/>
          <w:color w:val="000000"/>
          <w:sz w:val="21"/>
          <w:szCs w:val="21"/>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pPr>
        <w:pStyle w:val="Normal"/>
        <w:numPr>
          <w:ilvl w:val="1"/>
          <w:numId w:val="230"/>
        </w:numPr>
        <w:spacing w:lineRule="auto" w:line="276" w:before="120" w:after="120"/>
        <w:ind w:left="425" w:hanging="0"/>
        <w:jc w:val="both"/>
        <w:rPr>
          <w:sz w:val="21"/>
          <w:szCs w:val="21"/>
        </w:rPr>
      </w:pPr>
      <w:r>
        <w:rPr>
          <w:rFonts w:cs="Arial"/>
          <w:color w:val="000000"/>
          <w:sz w:val="21"/>
          <w:szCs w:val="21"/>
        </w:rPr>
        <w:t>Reparar, corrigir, remover ou substituir, às suas expensas, no total ou em parte, no prazo fixado pelo fiscal do contrato, os serviços efetuados em que se verificarem vícios, defeitos ou incorreções resultantes da execução ou dos materiais empregados;</w:t>
      </w:r>
    </w:p>
    <w:p>
      <w:pPr>
        <w:pStyle w:val="Normal"/>
        <w:numPr>
          <w:ilvl w:val="1"/>
          <w:numId w:val="231"/>
        </w:numPr>
        <w:spacing w:lineRule="auto" w:line="276" w:before="120" w:after="120"/>
        <w:ind w:left="425" w:hanging="0"/>
        <w:jc w:val="both"/>
        <w:rPr>
          <w:sz w:val="21"/>
          <w:szCs w:val="21"/>
        </w:rPr>
      </w:pPr>
      <w:r>
        <w:rPr>
          <w:rFonts w:cs="Arial"/>
          <w:color w:val="000000"/>
          <w:sz w:val="21"/>
          <w:szCs w:val="21"/>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ou dos pagamentos devidos à Contratada, o valor correspondente aos danos sofridos;</w:t>
      </w:r>
    </w:p>
    <w:p>
      <w:pPr>
        <w:pStyle w:val="Normal"/>
        <w:numPr>
          <w:ilvl w:val="1"/>
          <w:numId w:val="232"/>
        </w:numPr>
        <w:spacing w:lineRule="auto" w:line="276" w:before="120" w:after="120"/>
        <w:ind w:left="425" w:hanging="0"/>
        <w:jc w:val="both"/>
        <w:rPr>
          <w:sz w:val="21"/>
          <w:szCs w:val="21"/>
        </w:rPr>
      </w:pPr>
      <w:r>
        <w:rPr>
          <w:rFonts w:cs="Arial"/>
          <w:color w:val="000000"/>
          <w:sz w:val="21"/>
          <w:szCs w:val="21"/>
        </w:rPr>
        <w:t>Utilizar empregados habilitados e com conhecimentos básicos dos serviços a serem executados, em conformidade com as normas e determinações em vigor;</w:t>
      </w:r>
    </w:p>
    <w:p>
      <w:pPr>
        <w:pStyle w:val="Normal"/>
        <w:numPr>
          <w:ilvl w:val="1"/>
          <w:numId w:val="233"/>
        </w:numPr>
        <w:spacing w:lineRule="auto" w:line="276" w:before="120" w:after="120"/>
        <w:ind w:left="425" w:hanging="0"/>
        <w:jc w:val="both"/>
        <w:rPr>
          <w:sz w:val="21"/>
          <w:szCs w:val="21"/>
        </w:rPr>
      </w:pPr>
      <w:r>
        <w:rPr>
          <w:rFonts w:cs="Arial"/>
          <w:color w:val="000000"/>
          <w:sz w:val="21"/>
          <w:szCs w:val="21"/>
        </w:rPr>
        <w:t>Vedar a utilização, na execução dos serviços, de empregado que seja familiar de agente público ocupante de cargo em comissão ou função de confiança no órgão Contratante, nos termos do artigo 7° do Decreto n° 7.203, de 2010;</w:t>
      </w:r>
    </w:p>
    <w:p>
      <w:pPr>
        <w:pStyle w:val="Normal"/>
        <w:numPr>
          <w:ilvl w:val="1"/>
          <w:numId w:val="234"/>
        </w:numPr>
        <w:spacing w:lineRule="auto" w:line="276" w:before="120" w:after="120"/>
        <w:ind w:left="425" w:hanging="0"/>
        <w:jc w:val="both"/>
        <w:rPr>
          <w:sz w:val="21"/>
          <w:szCs w:val="21"/>
        </w:rPr>
      </w:pPr>
      <w:r>
        <w:rPr>
          <w:rFonts w:cs="Arial"/>
          <w:iCs/>
          <w:sz w:val="21"/>
          <w:szCs w:val="21"/>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w:t>
      </w:r>
      <w:r>
        <w:rPr>
          <w:rFonts w:cs="Arial"/>
          <w:sz w:val="21"/>
          <w:szCs w:val="21"/>
        </w:rPr>
        <w:t>3) certidões que comprovem a regularidade perante a Fazenda M</w:t>
      </w:r>
      <w:r>
        <w:rPr>
          <w:rFonts w:cs="Arial"/>
          <w:color w:val="000000"/>
          <w:sz w:val="21"/>
          <w:szCs w:val="21"/>
        </w:rPr>
        <w:t>unicipal/Estadual ou D</w:t>
      </w:r>
      <w:r>
        <w:rPr>
          <w:rFonts w:cs="Arial"/>
          <w:sz w:val="21"/>
          <w:szCs w:val="21"/>
        </w:rPr>
        <w:t>istrital do domicílio ou sede do contratado</w:t>
      </w:r>
      <w:r>
        <w:rPr>
          <w:rFonts w:cs="Arial"/>
          <w:iCs/>
          <w:sz w:val="21"/>
          <w:szCs w:val="21"/>
        </w:rPr>
        <w:t>; 4) Certidão de Regularidade do FGTS – CRF; e 5) Certidão Negativa de Débitos Trabalhistas – CNDT, conforme alínea "c" do item 10.2 do Anexo VIII-B da IN SEGES/MP n. 5/2017;</w:t>
      </w:r>
    </w:p>
    <w:p>
      <w:pPr>
        <w:pStyle w:val="Normal"/>
        <w:numPr>
          <w:ilvl w:val="1"/>
          <w:numId w:val="235"/>
        </w:numPr>
        <w:spacing w:lineRule="auto" w:line="276" w:before="120" w:after="120"/>
        <w:ind w:left="425" w:hanging="0"/>
        <w:jc w:val="both"/>
        <w:rPr>
          <w:sz w:val="21"/>
          <w:szCs w:val="21"/>
        </w:rPr>
      </w:pPr>
      <w:r>
        <w:rPr>
          <w:rFonts w:cs="Arial"/>
          <w:iCs/>
          <w:sz w:val="21"/>
          <w:szCs w:val="21"/>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pPr>
        <w:pStyle w:val="Normal"/>
        <w:numPr>
          <w:ilvl w:val="1"/>
          <w:numId w:val="236"/>
        </w:numPr>
        <w:spacing w:lineRule="auto" w:line="276" w:before="120" w:after="120"/>
        <w:ind w:left="425" w:hanging="0"/>
        <w:jc w:val="both"/>
        <w:rPr>
          <w:sz w:val="21"/>
          <w:szCs w:val="21"/>
        </w:rPr>
      </w:pPr>
      <w:r>
        <w:rPr>
          <w:rFonts w:cs="Arial"/>
          <w:sz w:val="21"/>
          <w:szCs w:val="21"/>
        </w:rPr>
        <w:t xml:space="preserve">Comunicar ao Fiscal do contrato, no prazo de 24 (vinte e quatro) horas, qualquer ocorrência anormal ou </w:t>
      </w:r>
      <w:r>
        <w:rPr>
          <w:rFonts w:cs="Arial"/>
          <w:color w:val="000000"/>
          <w:sz w:val="21"/>
          <w:szCs w:val="21"/>
        </w:rPr>
        <w:t>acidente</w:t>
      </w:r>
      <w:r>
        <w:rPr>
          <w:rFonts w:cs="Arial"/>
          <w:sz w:val="21"/>
          <w:szCs w:val="21"/>
        </w:rPr>
        <w:t xml:space="preserve"> que se verifique no local dos serviços.</w:t>
      </w:r>
    </w:p>
    <w:p>
      <w:pPr>
        <w:pStyle w:val="Normal"/>
        <w:numPr>
          <w:ilvl w:val="1"/>
          <w:numId w:val="237"/>
        </w:numPr>
        <w:spacing w:lineRule="auto" w:line="276" w:before="120" w:after="120"/>
        <w:ind w:left="425" w:hanging="0"/>
        <w:jc w:val="both"/>
        <w:rPr>
          <w:sz w:val="21"/>
          <w:szCs w:val="21"/>
        </w:rPr>
      </w:pPr>
      <w:r>
        <w:rPr>
          <w:rFonts w:cs="Arial"/>
          <w:sz w:val="21"/>
          <w:szCs w:val="21"/>
        </w:rPr>
        <w:t>Prestar todo esclarecimento ou informação solicitada pela Contratante ou por seus prepostos, garantindo-lhes o acesso, a qualquer tempo, ao local dos trabalhos, bem como aos documentos relativos à execução do empreendimento.</w:t>
      </w:r>
    </w:p>
    <w:p>
      <w:pPr>
        <w:pStyle w:val="Normal"/>
        <w:numPr>
          <w:ilvl w:val="1"/>
          <w:numId w:val="238"/>
        </w:numPr>
        <w:spacing w:lineRule="auto" w:line="276" w:before="120" w:after="120"/>
        <w:ind w:left="425" w:hanging="0"/>
        <w:jc w:val="both"/>
        <w:rPr>
          <w:sz w:val="21"/>
          <w:szCs w:val="21"/>
        </w:rPr>
      </w:pPr>
      <w:r>
        <w:rPr>
          <w:rFonts w:cs="Arial"/>
          <w:sz w:val="21"/>
          <w:szCs w:val="21"/>
        </w:rPr>
        <w:t>Paralisar, por determinação da Contratante, qualquer atividade que não esteja sendo executada de acordo com a boa técnica ou que ponha em risco a segurança de pessoas ou bens de terceiros.</w:t>
      </w:r>
    </w:p>
    <w:p>
      <w:pPr>
        <w:pStyle w:val="Normal"/>
        <w:numPr>
          <w:ilvl w:val="1"/>
          <w:numId w:val="239"/>
        </w:numPr>
        <w:spacing w:lineRule="auto" w:line="276" w:before="120" w:after="120"/>
        <w:ind w:left="425" w:hanging="0"/>
        <w:jc w:val="both"/>
        <w:rPr>
          <w:sz w:val="21"/>
          <w:szCs w:val="21"/>
        </w:rPr>
      </w:pPr>
      <w:r>
        <w:rPr>
          <w:rFonts w:cs="Arial"/>
          <w:sz w:val="21"/>
          <w:szCs w:val="21"/>
        </w:rPr>
        <w:t>Promover a guarda, manutenção e vigilância de materiais, ferramentas, e tudo o que for necessário à execução dos serviços, durante a vigência do contrato.</w:t>
      </w:r>
    </w:p>
    <w:p>
      <w:pPr>
        <w:pStyle w:val="Normal"/>
        <w:numPr>
          <w:ilvl w:val="1"/>
          <w:numId w:val="240"/>
        </w:numPr>
        <w:spacing w:lineRule="auto" w:line="276" w:before="120" w:after="120"/>
        <w:ind w:left="425" w:hanging="0"/>
        <w:jc w:val="both"/>
        <w:rPr>
          <w:sz w:val="21"/>
          <w:szCs w:val="21"/>
        </w:rPr>
      </w:pPr>
      <w:r>
        <w:rPr>
          <w:rFonts w:cs="Arial"/>
          <w:sz w:val="21"/>
          <w:szCs w:val="21"/>
        </w:rPr>
        <w:t>Promover a organização técnica e administrativa dos serviços, de modo a conduzi-los eficaz e eficientemente, de acordo com os documentos e especificações que integram este Termo de Referência, no prazo determinado.</w:t>
      </w:r>
    </w:p>
    <w:p>
      <w:pPr>
        <w:pStyle w:val="Normal"/>
        <w:numPr>
          <w:ilvl w:val="1"/>
          <w:numId w:val="241"/>
        </w:numPr>
        <w:spacing w:lineRule="auto" w:line="276" w:before="120" w:after="120"/>
        <w:ind w:left="425" w:hanging="0"/>
        <w:jc w:val="both"/>
        <w:rPr>
          <w:sz w:val="21"/>
          <w:szCs w:val="21"/>
        </w:rPr>
      </w:pPr>
      <w:r>
        <w:rPr>
          <w:rFonts w:cs="Arial"/>
          <w:sz w:val="21"/>
          <w:szCs w:val="21"/>
        </w:rPr>
        <w:t>Conduzir os trabalhos com estrita observância às normas da legislação pertinente, cumprindo as determinações dos Poderes Públicos, mantendo sempre limpo o local dos serviços e nas melhores condições de segurança, higiene e disciplina.</w:t>
      </w:r>
    </w:p>
    <w:p>
      <w:pPr>
        <w:pStyle w:val="Normal"/>
        <w:numPr>
          <w:ilvl w:val="1"/>
          <w:numId w:val="242"/>
        </w:numPr>
        <w:spacing w:lineRule="auto" w:line="276" w:before="120" w:after="120"/>
        <w:ind w:left="425" w:hanging="0"/>
        <w:jc w:val="both"/>
        <w:rPr>
          <w:sz w:val="21"/>
          <w:szCs w:val="21"/>
        </w:rPr>
      </w:pPr>
      <w:r>
        <w:rPr>
          <w:rFonts w:cs="Arial"/>
          <w:sz w:val="21"/>
          <w:szCs w:val="21"/>
        </w:rPr>
        <w:t>Submeter previamente, por escrito, à Contratante, para análise e aprovação, quaisquer mudanças nos métodos executivos que fujam às especificações do memorial descritivo.</w:t>
      </w:r>
    </w:p>
    <w:p>
      <w:pPr>
        <w:pStyle w:val="Normal"/>
        <w:numPr>
          <w:ilvl w:val="1"/>
          <w:numId w:val="243"/>
        </w:numPr>
        <w:spacing w:lineRule="auto" w:line="276" w:before="120" w:after="120"/>
        <w:ind w:left="425" w:hanging="0"/>
        <w:jc w:val="both"/>
        <w:rPr>
          <w:sz w:val="21"/>
          <w:szCs w:val="21"/>
        </w:rPr>
      </w:pPr>
      <w:r>
        <w:rPr>
          <w:rFonts w:cs="Arial"/>
          <w:color w:val="000000"/>
          <w:sz w:val="21"/>
          <w:szCs w:val="21"/>
        </w:rPr>
        <w:t>Não permitir a utilização de qualquer trabalho do menor de dezesseis anos, exceto na condição de aprendiz para os maiores de quatorze anos; nem permitir a utilização do trabalho do menor de dezoito anos em trabalho noturno, perigoso ou insalubre;</w:t>
      </w:r>
    </w:p>
    <w:p>
      <w:pPr>
        <w:pStyle w:val="Normal"/>
        <w:numPr>
          <w:ilvl w:val="1"/>
          <w:numId w:val="244"/>
        </w:numPr>
        <w:spacing w:lineRule="auto" w:line="276" w:before="120" w:after="120"/>
        <w:ind w:left="425" w:hanging="0"/>
        <w:jc w:val="both"/>
        <w:rPr>
          <w:sz w:val="21"/>
          <w:szCs w:val="21"/>
        </w:rPr>
      </w:pPr>
      <w:r>
        <w:rPr>
          <w:rFonts w:cs="Arial"/>
          <w:color w:val="000000"/>
          <w:sz w:val="21"/>
          <w:szCs w:val="21"/>
        </w:rPr>
        <w:t xml:space="preserve"> </w:t>
      </w:r>
      <w:r>
        <w:rPr>
          <w:rFonts w:cs="Arial"/>
          <w:color w:val="000000"/>
          <w:sz w:val="21"/>
          <w:szCs w:val="21"/>
        </w:rPr>
        <w:t>Manter durante toda a vigência do contrato, em compatibilidade com as obrigações assumidas, todas as condições de habilitação e qualificação exigidas na licitação;</w:t>
      </w:r>
    </w:p>
    <w:p>
      <w:pPr>
        <w:pStyle w:val="ListParagraph"/>
        <w:numPr>
          <w:ilvl w:val="1"/>
          <w:numId w:val="245"/>
        </w:numPr>
        <w:spacing w:lineRule="auto" w:line="276" w:before="120" w:after="120"/>
        <w:ind w:left="425" w:hanging="0"/>
        <w:contextualSpacing w:val="false"/>
        <w:jc w:val="both"/>
        <w:rPr>
          <w:sz w:val="21"/>
          <w:szCs w:val="21"/>
        </w:rPr>
      </w:pPr>
      <w:r>
        <w:rPr>
          <w:rFonts w:cs="Arial"/>
          <w:color w:val="000000" w:themeColor="text1"/>
          <w:sz w:val="21"/>
          <w:szCs w:val="21"/>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Pr>
          <w:rFonts w:cs="Arial"/>
          <w:i/>
          <w:iCs/>
          <w:color w:val="000000" w:themeColor="text1"/>
          <w:sz w:val="21"/>
          <w:szCs w:val="21"/>
        </w:rPr>
        <w:t>.</w:t>
      </w:r>
    </w:p>
    <w:p>
      <w:pPr>
        <w:pStyle w:val="Normal"/>
        <w:numPr>
          <w:ilvl w:val="1"/>
          <w:numId w:val="246"/>
        </w:numPr>
        <w:spacing w:lineRule="auto" w:line="276" w:before="120" w:after="120"/>
        <w:ind w:left="425" w:hanging="0"/>
        <w:jc w:val="both"/>
        <w:rPr>
          <w:sz w:val="21"/>
          <w:szCs w:val="21"/>
        </w:rPr>
      </w:pPr>
      <w:r>
        <w:rPr>
          <w:rFonts w:cs="Arial"/>
          <w:color w:val="000000"/>
          <w:sz w:val="21"/>
          <w:szCs w:val="21"/>
        </w:rPr>
        <w:t>Guardar sigilo sobre todas as informações obtidas em decorrência do cumprimento do contrato;</w:t>
      </w:r>
    </w:p>
    <w:p>
      <w:pPr>
        <w:pStyle w:val="Normal"/>
        <w:numPr>
          <w:ilvl w:val="1"/>
          <w:numId w:val="247"/>
        </w:numPr>
        <w:spacing w:lineRule="auto" w:line="276" w:before="120" w:after="120"/>
        <w:ind w:left="425" w:hanging="0"/>
        <w:jc w:val="both"/>
        <w:rPr>
          <w:sz w:val="21"/>
          <w:szCs w:val="21"/>
        </w:rPr>
      </w:pPr>
      <w:r>
        <w:rPr>
          <w:rFonts w:cs="Arial"/>
          <w:color w:val="000000"/>
          <w:sz w:val="21"/>
          <w:szCs w:val="21"/>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pPr>
        <w:pStyle w:val="Normal"/>
        <w:numPr>
          <w:ilvl w:val="1"/>
          <w:numId w:val="248"/>
        </w:numPr>
        <w:spacing w:lineRule="auto" w:line="276" w:before="120" w:after="120"/>
        <w:ind w:left="425" w:hanging="0"/>
        <w:jc w:val="both"/>
        <w:rPr>
          <w:sz w:val="21"/>
          <w:szCs w:val="21"/>
        </w:rPr>
      </w:pPr>
      <w:r>
        <w:rPr>
          <w:rFonts w:cs="Arial"/>
          <w:sz w:val="21"/>
          <w:szCs w:val="21"/>
        </w:rPr>
        <w:t>Cumprir, além dos postulados legais vigentes de âmbito federal, estadual ou municipal, as normas de segurança da Contratante;</w:t>
      </w:r>
    </w:p>
    <w:p>
      <w:pPr>
        <w:pStyle w:val="Normal"/>
        <w:numPr>
          <w:ilvl w:val="1"/>
          <w:numId w:val="249"/>
        </w:numPr>
        <w:spacing w:lineRule="auto" w:line="276" w:before="120" w:after="120"/>
        <w:ind w:left="425" w:hanging="0"/>
        <w:jc w:val="both"/>
        <w:rPr>
          <w:sz w:val="21"/>
          <w:szCs w:val="21"/>
        </w:rPr>
      </w:pPr>
      <w:r>
        <w:rPr>
          <w:rFonts w:cs="Arial"/>
          <w:sz w:val="21"/>
          <w:szCs w:val="21"/>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pStyle w:val="Normal"/>
        <w:numPr>
          <w:ilvl w:val="1"/>
          <w:numId w:val="250"/>
        </w:numPr>
        <w:spacing w:lineRule="auto" w:line="276" w:before="120" w:after="120"/>
        <w:ind w:left="425" w:hanging="0"/>
        <w:jc w:val="both"/>
        <w:rPr>
          <w:sz w:val="21"/>
          <w:szCs w:val="21"/>
        </w:rPr>
      </w:pPr>
      <w:r>
        <w:rPr>
          <w:rFonts w:cs="Arial"/>
          <w:sz w:val="21"/>
          <w:szCs w:val="21"/>
        </w:rPr>
        <w:t>Assegurar à CONTRATANTE, em conformidade com o previsto no subitem 6.1, “a” e “b”, do Anexo VII – F da Instrução Normativa SEGES/MP nº 5, de 25/05/2017:</w:t>
      </w:r>
    </w:p>
    <w:p>
      <w:pPr>
        <w:pStyle w:val="Normal"/>
        <w:numPr>
          <w:ilvl w:val="2"/>
          <w:numId w:val="251"/>
        </w:numPr>
        <w:spacing w:lineRule="auto" w:line="276" w:before="120" w:after="120"/>
        <w:jc w:val="both"/>
        <w:rPr>
          <w:sz w:val="21"/>
          <w:szCs w:val="21"/>
        </w:rPr>
      </w:pPr>
      <w:r>
        <w:rPr>
          <w:rFonts w:cs="Arial"/>
          <w:sz w:val="21"/>
          <w:szCs w:val="21"/>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pPr>
        <w:pStyle w:val="Normal"/>
        <w:numPr>
          <w:ilvl w:val="2"/>
          <w:numId w:val="252"/>
        </w:numPr>
        <w:spacing w:lineRule="auto" w:line="276" w:before="120" w:after="120"/>
        <w:jc w:val="both"/>
        <w:rPr>
          <w:sz w:val="21"/>
          <w:szCs w:val="21"/>
        </w:rPr>
      </w:pPr>
      <w:r>
        <w:rPr>
          <w:rFonts w:cs="Arial"/>
          <w:sz w:val="21"/>
          <w:szCs w:val="21"/>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pPr>
        <w:pStyle w:val="Nivel1"/>
        <w:numPr>
          <w:ilvl w:val="0"/>
          <w:numId w:val="4"/>
        </w:numPr>
        <w:spacing w:before="309" w:after="0"/>
        <w:rPr>
          <w:sz w:val="21"/>
          <w:szCs w:val="21"/>
        </w:rPr>
      </w:pPr>
      <w:r>
        <w:rPr>
          <w:rFonts w:cs="Arial"/>
          <w:sz w:val="21"/>
          <w:szCs w:val="21"/>
        </w:rPr>
        <w:t xml:space="preserve">DA SUBCONTRATAÇÃO </w:t>
      </w:r>
    </w:p>
    <w:p>
      <w:pPr>
        <w:pStyle w:val="Nivel1"/>
        <w:numPr>
          <w:ilvl w:val="1"/>
          <w:numId w:val="253"/>
        </w:numPr>
        <w:spacing w:before="195" w:after="0"/>
        <w:rPr>
          <w:sz w:val="21"/>
          <w:szCs w:val="21"/>
        </w:rPr>
      </w:pPr>
      <w:r>
        <w:rPr>
          <w:rFonts w:eastAsia="Times New Roman" w:cs="Arial"/>
          <w:b w:val="false"/>
          <w:i w:val="false"/>
          <w:iCs w:val="false"/>
          <w:color w:val="auto"/>
          <w:kern w:val="0"/>
          <w:sz w:val="21"/>
          <w:szCs w:val="21"/>
          <w:lang w:val="pt-BR" w:eastAsia="pt-BR" w:bidi="ar-SA"/>
        </w:rPr>
        <w:t>Não será admitida a subcontratação do objeto licitatório.</w:t>
      </w:r>
    </w:p>
    <w:p>
      <w:pPr>
        <w:pStyle w:val="Nivel1"/>
        <w:numPr>
          <w:ilvl w:val="0"/>
          <w:numId w:val="4"/>
        </w:numPr>
        <w:rPr>
          <w:sz w:val="21"/>
          <w:szCs w:val="21"/>
        </w:rPr>
      </w:pPr>
      <w:r>
        <w:rPr>
          <w:rFonts w:cs="Arial"/>
          <w:sz w:val="21"/>
          <w:szCs w:val="21"/>
          <w:lang w:eastAsia="en-US"/>
        </w:rPr>
        <w:t>ALTERAÇÃO SUBJETIVA</w:t>
      </w:r>
    </w:p>
    <w:p>
      <w:pPr>
        <w:pStyle w:val="Normal"/>
        <w:numPr>
          <w:ilvl w:val="1"/>
          <w:numId w:val="254"/>
        </w:numPr>
        <w:spacing w:lineRule="auto" w:line="276" w:before="120" w:after="120"/>
        <w:ind w:left="425" w:hanging="0"/>
        <w:jc w:val="both"/>
        <w:rPr>
          <w:sz w:val="21"/>
          <w:szCs w:val="21"/>
        </w:rPr>
      </w:pPr>
      <w:r>
        <w:rPr>
          <w:rFonts w:cs="Arial"/>
          <w:sz w:val="21"/>
          <w:szCs w:val="21"/>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Nivel1"/>
        <w:numPr>
          <w:ilvl w:val="0"/>
          <w:numId w:val="4"/>
        </w:numPr>
        <w:rPr>
          <w:sz w:val="21"/>
          <w:szCs w:val="21"/>
        </w:rPr>
      </w:pPr>
      <w:r>
        <w:rPr>
          <w:rFonts w:cs="Arial"/>
          <w:sz w:val="21"/>
          <w:szCs w:val="21"/>
          <w:lang w:eastAsia="en-US"/>
        </w:rPr>
        <w:t xml:space="preserve">CONTROLE E FISCALIZAÇÃO DA EXECUÇÃO </w:t>
      </w:r>
    </w:p>
    <w:p>
      <w:pPr>
        <w:pStyle w:val="Normal"/>
        <w:numPr>
          <w:ilvl w:val="1"/>
          <w:numId w:val="255"/>
        </w:numPr>
        <w:spacing w:lineRule="auto" w:line="276" w:before="120" w:after="120"/>
        <w:ind w:left="425" w:hanging="0"/>
        <w:jc w:val="both"/>
        <w:rPr>
          <w:sz w:val="21"/>
          <w:szCs w:val="21"/>
        </w:rPr>
      </w:pPr>
      <w:r>
        <w:rPr>
          <w:rFonts w:cs="Arial"/>
          <w:sz w:val="21"/>
          <w:szCs w:val="21"/>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pStyle w:val="Normal"/>
        <w:numPr>
          <w:ilvl w:val="1"/>
          <w:numId w:val="256"/>
        </w:numPr>
        <w:spacing w:lineRule="auto" w:line="276" w:before="120" w:after="120"/>
        <w:ind w:left="425" w:hanging="0"/>
        <w:jc w:val="both"/>
        <w:rPr>
          <w:sz w:val="21"/>
          <w:szCs w:val="21"/>
        </w:rPr>
      </w:pPr>
      <w:r>
        <w:rPr>
          <w:rFonts w:cs="Arial"/>
          <w:sz w:val="21"/>
          <w:szCs w:val="21"/>
          <w:lang w:eastAsia="en-US"/>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pPr>
        <w:pStyle w:val="Normal"/>
        <w:numPr>
          <w:ilvl w:val="1"/>
          <w:numId w:val="257"/>
        </w:numPr>
        <w:spacing w:lineRule="auto" w:line="276" w:before="120" w:after="120"/>
        <w:ind w:left="425" w:hanging="0"/>
        <w:jc w:val="both"/>
        <w:rPr>
          <w:sz w:val="21"/>
          <w:szCs w:val="21"/>
        </w:rPr>
      </w:pPr>
      <w:r>
        <w:rPr>
          <w:rFonts w:cs="Arial"/>
          <w:sz w:val="21"/>
          <w:szCs w:val="21"/>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pPr>
        <w:pStyle w:val="Normal"/>
        <w:numPr>
          <w:ilvl w:val="1"/>
          <w:numId w:val="258"/>
        </w:numPr>
        <w:spacing w:lineRule="auto" w:line="276" w:before="120" w:after="120"/>
        <w:ind w:left="425" w:hanging="0"/>
        <w:jc w:val="both"/>
        <w:rPr>
          <w:sz w:val="21"/>
          <w:szCs w:val="21"/>
        </w:rPr>
      </w:pPr>
      <w:r>
        <w:rPr>
          <w:rFonts w:cs="Arial"/>
          <w:sz w:val="21"/>
          <w:szCs w:val="21"/>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p>
    <w:p>
      <w:pPr>
        <w:pStyle w:val="Normal"/>
        <w:numPr>
          <w:ilvl w:val="1"/>
          <w:numId w:val="259"/>
        </w:numPr>
        <w:spacing w:lineRule="auto" w:line="276" w:before="120" w:after="120"/>
        <w:ind w:left="425" w:hanging="0"/>
        <w:jc w:val="both"/>
        <w:rPr>
          <w:sz w:val="21"/>
          <w:szCs w:val="21"/>
        </w:rPr>
      </w:pPr>
      <w:r>
        <w:rPr>
          <w:rFonts w:cs="Arial"/>
          <w:sz w:val="21"/>
          <w:szCs w:val="21"/>
          <w:lang w:eastAsia="en-US"/>
        </w:rPr>
        <w:t xml:space="preserve">As atividades de gestão e fiscalização da execução contratual devem ser realizadas de forma preventiva, rotineira </w:t>
      </w:r>
      <w:r>
        <w:rPr>
          <w:rFonts w:cs="Arial"/>
          <w:sz w:val="21"/>
          <w:szCs w:val="21"/>
        </w:rPr>
        <w:t xml:space="preserve">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pStyle w:val="Normal"/>
        <w:numPr>
          <w:ilvl w:val="1"/>
          <w:numId w:val="260"/>
        </w:numPr>
        <w:spacing w:lineRule="auto" w:line="276" w:before="120" w:after="120"/>
        <w:ind w:left="425" w:hanging="0"/>
        <w:jc w:val="both"/>
        <w:rPr>
          <w:sz w:val="21"/>
          <w:szCs w:val="21"/>
        </w:rPr>
      </w:pPr>
      <w:r>
        <w:rPr>
          <w:rFonts w:cs="Arial"/>
          <w:sz w:val="21"/>
          <w:szCs w:val="21"/>
        </w:rPr>
        <w:t xml:space="preserve">A fiscalização técnica dos contratos avaliará constantemente a execução do objeto. </w:t>
      </w:r>
    </w:p>
    <w:p>
      <w:pPr>
        <w:pStyle w:val="Normal"/>
        <w:numPr>
          <w:ilvl w:val="1"/>
          <w:numId w:val="261"/>
        </w:numPr>
        <w:spacing w:lineRule="auto" w:line="276" w:before="120" w:after="120"/>
        <w:ind w:left="425" w:hanging="0"/>
        <w:jc w:val="both"/>
        <w:rPr>
          <w:sz w:val="21"/>
          <w:szCs w:val="21"/>
        </w:rPr>
      </w:pPr>
      <w:r>
        <w:rPr>
          <w:rFonts w:cs="Arial"/>
          <w:sz w:val="21"/>
          <w:szCs w:val="21"/>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pPr>
        <w:pStyle w:val="Normal"/>
        <w:numPr>
          <w:ilvl w:val="1"/>
          <w:numId w:val="262"/>
        </w:numPr>
        <w:spacing w:lineRule="auto" w:line="276" w:before="120" w:after="120"/>
        <w:ind w:left="425" w:hanging="0"/>
        <w:jc w:val="both"/>
        <w:rPr>
          <w:sz w:val="21"/>
          <w:szCs w:val="21"/>
        </w:rPr>
      </w:pPr>
      <w:r>
        <w:rPr>
          <w:rFonts w:cs="Arial"/>
          <w:sz w:val="21"/>
          <w:szCs w:val="21"/>
        </w:rPr>
        <w:t xml:space="preserve">O fiscal técnico deverá apresentar ao preposto da CONTRATADA a avaliação da execução do objeto ou, se for o caso, a avaliação de desempenho e qualidade da prestação dos serviços realizada. </w:t>
      </w:r>
    </w:p>
    <w:p>
      <w:pPr>
        <w:pStyle w:val="Normal"/>
        <w:numPr>
          <w:ilvl w:val="1"/>
          <w:numId w:val="263"/>
        </w:numPr>
        <w:spacing w:lineRule="auto" w:line="276" w:before="120" w:after="120"/>
        <w:ind w:left="425" w:hanging="0"/>
        <w:jc w:val="both"/>
        <w:rPr>
          <w:sz w:val="21"/>
          <w:szCs w:val="21"/>
        </w:rPr>
      </w:pPr>
      <w:r>
        <w:rPr>
          <w:rFonts w:cs="Arial"/>
          <w:sz w:val="21"/>
          <w:szCs w:val="21"/>
        </w:rPr>
        <w:t xml:space="preserve">Em hipótese alguma, será admitido que a própria CONTRATADA materialize a avaliação de desempenho e qualidade da prestação dos serviços realizada. </w:t>
      </w:r>
    </w:p>
    <w:p>
      <w:pPr>
        <w:pStyle w:val="Normal"/>
        <w:numPr>
          <w:ilvl w:val="1"/>
          <w:numId w:val="264"/>
        </w:numPr>
        <w:spacing w:lineRule="auto" w:line="276" w:before="120" w:after="120"/>
        <w:ind w:left="425" w:hanging="0"/>
        <w:jc w:val="both"/>
        <w:rPr>
          <w:sz w:val="21"/>
          <w:szCs w:val="21"/>
        </w:rPr>
      </w:pPr>
      <w:r>
        <w:rPr>
          <w:rFonts w:cs="Arial"/>
          <w:sz w:val="21"/>
          <w:szCs w:val="21"/>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pPr>
        <w:pStyle w:val="Normal"/>
        <w:numPr>
          <w:ilvl w:val="1"/>
          <w:numId w:val="265"/>
        </w:numPr>
        <w:spacing w:lineRule="auto" w:line="276" w:before="120" w:after="120"/>
        <w:ind w:left="425" w:hanging="0"/>
        <w:jc w:val="both"/>
        <w:rPr>
          <w:sz w:val="21"/>
          <w:szCs w:val="21"/>
        </w:rPr>
      </w:pPr>
      <w:r>
        <w:rPr>
          <w:rFonts w:cs="Arial"/>
          <w:sz w:val="21"/>
          <w:szCs w:val="21"/>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neste Termo de Referência. </w:t>
      </w:r>
    </w:p>
    <w:p>
      <w:pPr>
        <w:pStyle w:val="Normal"/>
        <w:numPr>
          <w:ilvl w:val="1"/>
          <w:numId w:val="266"/>
        </w:numPr>
        <w:spacing w:lineRule="auto" w:line="276" w:before="120" w:after="120"/>
        <w:ind w:left="425" w:hanging="0"/>
        <w:jc w:val="both"/>
        <w:rPr>
          <w:sz w:val="21"/>
          <w:szCs w:val="21"/>
        </w:rPr>
      </w:pPr>
      <w:r>
        <w:rPr>
          <w:rFonts w:cs="Arial"/>
          <w:sz w:val="21"/>
          <w:szCs w:val="21"/>
        </w:rPr>
        <w:t xml:space="preserve">O fiscal técnico poderá realizar avaliação diária, semanal ou mensal, desde que o período escolhido seja suficiente para avaliar ou, se for o caso, aferir o desempenho e qualidade da prestação dos serviços. </w:t>
      </w:r>
    </w:p>
    <w:p>
      <w:pPr>
        <w:pStyle w:val="ListParagraph"/>
        <w:numPr>
          <w:ilvl w:val="1"/>
          <w:numId w:val="267"/>
        </w:numPr>
        <w:spacing w:lineRule="auto" w:line="276" w:before="120" w:after="120"/>
        <w:ind w:left="425" w:hanging="0"/>
        <w:contextualSpacing/>
        <w:jc w:val="both"/>
        <w:rPr>
          <w:sz w:val="21"/>
          <w:szCs w:val="21"/>
        </w:rPr>
      </w:pPr>
      <w:r>
        <w:rPr>
          <w:rFonts w:cs="Arial"/>
          <w:sz w:val="21"/>
          <w:szCs w:val="21"/>
        </w:rPr>
        <w:t>As disposições previstas nesta cláusula não excluem o disposto no Anexo VIII da Instrução Normativa SEGES/MP nº 05, de 2017, aplicável no que for pertinente à contratação.</w:t>
      </w:r>
    </w:p>
    <w:p>
      <w:pPr>
        <w:pStyle w:val="Normal"/>
        <w:numPr>
          <w:ilvl w:val="1"/>
          <w:numId w:val="268"/>
        </w:numPr>
        <w:spacing w:lineRule="auto" w:line="276" w:before="120" w:after="120"/>
        <w:ind w:left="425" w:hanging="0"/>
        <w:jc w:val="both"/>
        <w:rPr>
          <w:sz w:val="21"/>
          <w:szCs w:val="21"/>
        </w:rPr>
      </w:pPr>
      <w:r>
        <w:rPr>
          <w:rFonts w:cs="Arial"/>
          <w:sz w:val="21"/>
          <w:szCs w:val="21"/>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pPr>
        <w:pStyle w:val="Nivel1"/>
        <w:numPr>
          <w:ilvl w:val="0"/>
          <w:numId w:val="4"/>
        </w:numPr>
        <w:rPr>
          <w:sz w:val="21"/>
          <w:szCs w:val="21"/>
        </w:rPr>
      </w:pPr>
      <w:r>
        <w:rPr>
          <w:rFonts w:eastAsia="Times New Roman" w:cs="Arial"/>
          <w:color w:val="000000"/>
          <w:kern w:val="0"/>
          <w:sz w:val="21"/>
          <w:szCs w:val="21"/>
          <w:shd w:fill="auto" w:val="clear"/>
          <w:lang w:val="pt-BR" w:eastAsia="pt-BR" w:bidi="ar-SA"/>
        </w:rPr>
        <w:t>DOS CRITÉRIOS DE AFERIÇÃO E MEDIÇÃO PARA FATURAMENTO</w:t>
      </w:r>
    </w:p>
    <w:p>
      <w:pPr>
        <w:pStyle w:val="Normal"/>
        <w:numPr>
          <w:ilvl w:val="1"/>
          <w:numId w:val="269"/>
        </w:numPr>
        <w:spacing w:lineRule="auto" w:line="276" w:before="120" w:after="120"/>
        <w:ind w:left="425" w:hanging="0"/>
        <w:jc w:val="both"/>
        <w:rPr>
          <w:sz w:val="21"/>
          <w:szCs w:val="21"/>
        </w:rPr>
      </w:pPr>
      <w:r>
        <w:rPr>
          <w:rFonts w:eastAsia="Times New Roman" w:cs="Arial"/>
          <w:color w:val="000000"/>
          <w:kern w:val="0"/>
          <w:sz w:val="21"/>
          <w:szCs w:val="21"/>
          <w:shd w:fill="auto" w:val="clear"/>
          <w:lang w:val="pt-BR" w:eastAsia="pt-BR" w:bidi="ar-SA"/>
        </w:rPr>
        <w:t xml:space="preserve">A avaliação da execução do objeto utilizará </w:t>
      </w:r>
      <w:r>
        <w:rPr>
          <w:rFonts w:eastAsia="Times New Roman" w:cs="Arial"/>
          <w:i/>
          <w:color w:val="000000"/>
          <w:kern w:val="0"/>
          <w:sz w:val="21"/>
          <w:szCs w:val="21"/>
          <w:u w:val="single"/>
          <w:shd w:fill="auto" w:val="clear"/>
          <w:lang w:val="pt-BR" w:eastAsia="pt-BR" w:bidi="ar-SA"/>
        </w:rPr>
        <w:t>o disposto neste item</w:t>
      </w:r>
      <w:r>
        <w:rPr>
          <w:rFonts w:eastAsia="Times New Roman" w:cs="Arial"/>
          <w:color w:val="000000"/>
          <w:kern w:val="0"/>
          <w:sz w:val="21"/>
          <w:szCs w:val="21"/>
          <w:shd w:fill="auto" w:val="clear"/>
          <w:lang w:val="pt-BR" w:eastAsia="pt-BR" w:bidi="ar-SA"/>
        </w:rPr>
        <w:t>, devendo haver o redimensionamento no pagamento com base nos indicadores estabelecidos, sempre que a CONTRATADA:</w:t>
      </w:r>
    </w:p>
    <w:p>
      <w:pPr>
        <w:pStyle w:val="Normal"/>
        <w:spacing w:lineRule="auto" w:line="276" w:before="120" w:after="120"/>
        <w:ind w:left="1416" w:hanging="0"/>
        <w:jc w:val="both"/>
        <w:rPr>
          <w:sz w:val="21"/>
          <w:szCs w:val="21"/>
        </w:rPr>
      </w:pPr>
      <w:r>
        <w:rPr>
          <w:rFonts w:eastAsia="Times New Roman" w:cs="Arial"/>
          <w:color w:val="000000"/>
          <w:kern w:val="0"/>
          <w:sz w:val="21"/>
          <w:szCs w:val="21"/>
          <w:shd w:fill="auto" w:val="clear"/>
          <w:lang w:val="pt-BR" w:eastAsia="pt-BR" w:bidi="ar-SA"/>
        </w:rPr>
        <w:t>a) não produzir os resultados, deixar de executar, ou não executar com a qualidade mínima exigida as atividades contratadas; ou</w:t>
      </w:r>
    </w:p>
    <w:p>
      <w:pPr>
        <w:pStyle w:val="Normal"/>
        <w:spacing w:lineRule="auto" w:line="276" w:before="120" w:after="120"/>
        <w:ind w:left="1416" w:hanging="0"/>
        <w:jc w:val="both"/>
        <w:rPr>
          <w:sz w:val="21"/>
          <w:szCs w:val="21"/>
        </w:rPr>
      </w:pPr>
      <w:r>
        <w:rPr>
          <w:rFonts w:eastAsia="Times New Roman" w:cs="Arial"/>
          <w:color w:val="000000"/>
          <w:kern w:val="0"/>
          <w:sz w:val="21"/>
          <w:szCs w:val="21"/>
          <w:shd w:fill="auto" w:val="clear"/>
          <w:lang w:val="pt-BR" w:eastAsia="pt-BR" w:bidi="ar-SA"/>
        </w:rPr>
        <w:t>b) deixar de utilizar materiais e recursos humanos exigidos para a execução do serviço, ou utilizá-los com qualidade ou quantidade inferior à demandada.</w:t>
      </w:r>
    </w:p>
    <w:p>
      <w:pPr>
        <w:pStyle w:val="Normal"/>
        <w:numPr>
          <w:ilvl w:val="1"/>
          <w:numId w:val="270"/>
        </w:numPr>
        <w:spacing w:lineRule="auto" w:line="276" w:before="120" w:after="120"/>
        <w:ind w:left="425" w:hanging="0"/>
        <w:jc w:val="both"/>
        <w:rPr>
          <w:sz w:val="21"/>
          <w:szCs w:val="21"/>
        </w:rPr>
      </w:pPr>
      <w:r>
        <w:rPr>
          <w:rFonts w:eastAsia="Times New Roman" w:cs="Arial"/>
          <w:color w:val="000000"/>
          <w:kern w:val="0"/>
          <w:sz w:val="21"/>
          <w:szCs w:val="21"/>
          <w:shd w:fill="auto" w:val="clear"/>
          <w:lang w:val="pt-BR" w:eastAsia="pt-BR" w:bidi="ar-SA"/>
        </w:rPr>
        <w:t>Nos termos do item 1, do Anexo VIII-A da Instrução Normativa SEGES/MP nº 05, de 2017, será indicada a retenção ou glosa no pagamento, proporcional à irregularidade verificada, sem prejuízo das sanções cabíveis, caso se constate que a Contratada:</w:t>
      </w:r>
    </w:p>
    <w:p>
      <w:pPr>
        <w:pStyle w:val="Normal"/>
        <w:numPr>
          <w:ilvl w:val="2"/>
          <w:numId w:val="271"/>
        </w:numPr>
        <w:spacing w:lineRule="auto" w:line="276" w:before="120" w:after="120"/>
        <w:jc w:val="both"/>
        <w:rPr>
          <w:sz w:val="21"/>
          <w:szCs w:val="21"/>
        </w:rPr>
      </w:pPr>
      <w:r>
        <w:rPr>
          <w:rFonts w:eastAsia="Times New Roman" w:cs="Arial"/>
          <w:color w:val="000000"/>
          <w:kern w:val="0"/>
          <w:sz w:val="21"/>
          <w:szCs w:val="21"/>
          <w:shd w:fill="auto" w:val="clear"/>
          <w:lang w:val="pt-BR" w:eastAsia="pt-BR" w:bidi="ar-SA"/>
        </w:rPr>
        <w:t>não produziu os resultados acordados;</w:t>
      </w:r>
    </w:p>
    <w:p>
      <w:pPr>
        <w:pStyle w:val="Normal"/>
        <w:numPr>
          <w:ilvl w:val="2"/>
          <w:numId w:val="272"/>
        </w:numPr>
        <w:spacing w:lineRule="auto" w:line="276" w:before="120" w:after="120"/>
        <w:jc w:val="both"/>
        <w:rPr>
          <w:sz w:val="21"/>
          <w:szCs w:val="21"/>
        </w:rPr>
      </w:pPr>
      <w:r>
        <w:rPr>
          <w:rFonts w:eastAsia="Times New Roman" w:cs="Arial"/>
          <w:color w:val="000000"/>
          <w:kern w:val="0"/>
          <w:sz w:val="21"/>
          <w:szCs w:val="21"/>
          <w:shd w:fill="auto" w:val="clear"/>
          <w:lang w:val="pt-BR" w:eastAsia="pt-BR" w:bidi="ar-SA"/>
        </w:rPr>
        <w:t>deixou de executar as atividades contratadas, ou não as executou com a qualidade mínima exigida;</w:t>
      </w:r>
    </w:p>
    <w:p>
      <w:pPr>
        <w:pStyle w:val="Normal"/>
        <w:numPr>
          <w:ilvl w:val="2"/>
          <w:numId w:val="273"/>
        </w:numPr>
        <w:spacing w:lineRule="auto" w:line="276" w:before="120" w:after="120"/>
        <w:jc w:val="both"/>
        <w:rPr>
          <w:sz w:val="21"/>
          <w:szCs w:val="21"/>
        </w:rPr>
      </w:pPr>
      <w:r>
        <w:rPr>
          <w:rFonts w:eastAsia="Times New Roman" w:cs="Arial"/>
          <w:color w:val="000000"/>
          <w:kern w:val="0"/>
          <w:sz w:val="21"/>
          <w:szCs w:val="21"/>
          <w:shd w:fill="auto" w:val="clear"/>
          <w:lang w:val="pt-BR" w:eastAsia="pt-BR" w:bidi="ar-SA"/>
        </w:rPr>
        <w:t>deixou de utilizar os materiais e recursos humanos exigidos para a execução do serviço, ou utilizou-os com qualidade ou quantidade inferior à demandada.</w:t>
      </w:r>
    </w:p>
    <w:p>
      <w:pPr>
        <w:pStyle w:val="Nivel1"/>
        <w:numPr>
          <w:ilvl w:val="0"/>
          <w:numId w:val="4"/>
        </w:numPr>
        <w:rPr>
          <w:sz w:val="21"/>
          <w:szCs w:val="21"/>
        </w:rPr>
      </w:pPr>
      <w:r>
        <w:rPr>
          <w:rFonts w:cs="Arial"/>
          <w:color w:val="auto"/>
          <w:sz w:val="21"/>
          <w:szCs w:val="21"/>
        </w:rPr>
        <w:t xml:space="preserve">DO RECEBIMENTO E ACEITAÇÃO DO OBJETO </w:t>
      </w:r>
    </w:p>
    <w:p>
      <w:pPr>
        <w:pStyle w:val="Normal"/>
        <w:numPr>
          <w:ilvl w:val="1"/>
          <w:numId w:val="274"/>
        </w:numPr>
        <w:spacing w:lineRule="auto" w:line="276" w:before="120" w:after="120"/>
        <w:ind w:left="425" w:hanging="0"/>
        <w:jc w:val="both"/>
        <w:rPr>
          <w:sz w:val="21"/>
          <w:szCs w:val="21"/>
        </w:rPr>
      </w:pPr>
      <w:r>
        <w:rPr>
          <w:rFonts w:cs="Arial"/>
          <w:iCs/>
          <w:sz w:val="21"/>
          <w:szCs w:val="21"/>
        </w:rPr>
        <w:t xml:space="preserve">A emissão da Nota Fiscal/Fatura deve ser precedida do recebimento definitivo do objeto contratual, nos termos abaixo. </w:t>
      </w:r>
    </w:p>
    <w:p>
      <w:pPr>
        <w:pStyle w:val="Normal"/>
        <w:numPr>
          <w:ilvl w:val="1"/>
          <w:numId w:val="275"/>
        </w:numPr>
        <w:spacing w:lineRule="auto" w:line="276" w:before="120" w:after="120"/>
        <w:ind w:left="425" w:hanging="0"/>
        <w:jc w:val="both"/>
        <w:rPr>
          <w:sz w:val="21"/>
          <w:szCs w:val="21"/>
        </w:rPr>
      </w:pPr>
      <w:r>
        <w:rPr>
          <w:rFonts w:cs="Arial"/>
          <w:iCs/>
          <w:sz w:val="21"/>
          <w:szCs w:val="21"/>
        </w:rPr>
        <w:t>No</w:t>
      </w:r>
      <w:r>
        <w:rPr>
          <w:rFonts w:cs="Arial"/>
          <w:color w:val="000000"/>
          <w:sz w:val="21"/>
          <w:szCs w:val="21"/>
          <w:lang w:eastAsia="en-US"/>
        </w:rPr>
        <w:t xml:space="preserve"> prazo </w:t>
      </w:r>
      <w:r>
        <w:rPr>
          <w:rFonts w:eastAsia="Times New Roman" w:cs="Arial"/>
          <w:color w:val="000000"/>
          <w:kern w:val="0"/>
          <w:sz w:val="21"/>
          <w:szCs w:val="21"/>
          <w:lang w:val="pt-BR" w:eastAsia="en-US" w:bidi="ar-SA"/>
        </w:rPr>
        <w:t xml:space="preserve">de até </w:t>
      </w:r>
      <w:r>
        <w:rPr>
          <w:rFonts w:eastAsia="Times New Roman" w:cs="Arial"/>
          <w:i/>
          <w:color w:val="000000"/>
          <w:kern w:val="0"/>
          <w:sz w:val="21"/>
          <w:szCs w:val="21"/>
          <w:lang w:val="pt-BR" w:eastAsia="en-US" w:bidi="ar-SA"/>
        </w:rPr>
        <w:t>5 dias corridos</w:t>
      </w:r>
      <w:r>
        <w:rPr>
          <w:rFonts w:eastAsia="Times New Roman" w:cs="Arial"/>
          <w:color w:val="000000"/>
          <w:kern w:val="0"/>
          <w:sz w:val="21"/>
          <w:szCs w:val="21"/>
          <w:lang w:val="pt-BR" w:eastAsia="en-US" w:bidi="ar-SA"/>
        </w:rPr>
        <w:t xml:space="preserve"> do a</w:t>
      </w:r>
      <w:r>
        <w:rPr>
          <w:rFonts w:cs="Arial"/>
          <w:color w:val="000000"/>
          <w:sz w:val="21"/>
          <w:szCs w:val="21"/>
          <w:lang w:eastAsia="en-US"/>
        </w:rPr>
        <w:t xml:space="preserve">dimplemento da parcela, a CONTRATADA deverá entregar toda a documentação comprobatória do cumprimento da obrigação contratual;  </w:t>
      </w:r>
    </w:p>
    <w:p>
      <w:pPr>
        <w:pStyle w:val="Normal"/>
        <w:numPr>
          <w:ilvl w:val="1"/>
          <w:numId w:val="276"/>
        </w:numPr>
        <w:spacing w:lineRule="auto" w:line="276" w:before="120" w:after="120"/>
        <w:ind w:left="425" w:hanging="0"/>
        <w:jc w:val="both"/>
        <w:rPr>
          <w:sz w:val="21"/>
          <w:szCs w:val="21"/>
        </w:rPr>
      </w:pPr>
      <w:r>
        <w:rPr>
          <w:rFonts w:cs="Arial"/>
          <w:sz w:val="21"/>
          <w:szCs w:val="21"/>
        </w:rPr>
        <w:t>O recebimento provisório será realizado pelo fiscal técnico e setorial ou pela equipe de fiscalização após a entrega da documentação acima, da seguinte forma:</w:t>
      </w:r>
    </w:p>
    <w:p>
      <w:pPr>
        <w:pStyle w:val="Normal"/>
        <w:numPr>
          <w:ilvl w:val="2"/>
          <w:numId w:val="277"/>
        </w:numPr>
        <w:spacing w:lineRule="auto" w:line="276" w:before="120" w:after="120"/>
        <w:jc w:val="both"/>
        <w:rPr>
          <w:sz w:val="21"/>
          <w:szCs w:val="21"/>
        </w:rPr>
      </w:pPr>
      <w:r>
        <w:rPr>
          <w:rFonts w:cs="Arial"/>
          <w:sz w:val="21"/>
          <w:szCs w:val="21"/>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pPr>
        <w:pStyle w:val="Normal"/>
        <w:numPr>
          <w:ilvl w:val="3"/>
          <w:numId w:val="278"/>
        </w:numPr>
        <w:spacing w:lineRule="auto" w:line="276" w:before="120" w:after="120"/>
        <w:jc w:val="both"/>
        <w:rPr>
          <w:sz w:val="21"/>
          <w:szCs w:val="21"/>
        </w:rPr>
      </w:pPr>
      <w:r>
        <w:rPr>
          <w:rFonts w:cs="Arial"/>
          <w:sz w:val="21"/>
          <w:szCs w:val="21"/>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pPr>
        <w:pStyle w:val="Normal"/>
        <w:numPr>
          <w:ilvl w:val="3"/>
          <w:numId w:val="279"/>
        </w:numPr>
        <w:spacing w:lineRule="auto" w:line="276" w:before="120" w:after="120"/>
        <w:jc w:val="both"/>
        <w:rPr>
          <w:sz w:val="21"/>
          <w:szCs w:val="21"/>
        </w:rPr>
      </w:pPr>
      <w:r>
        <w:rPr>
          <w:rFonts w:cs="Arial"/>
          <w:color w:val="000000"/>
          <w:sz w:val="21"/>
          <w:szCs w:val="21"/>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pPr>
        <w:pStyle w:val="ListParagraph"/>
        <w:numPr>
          <w:ilvl w:val="3"/>
          <w:numId w:val="280"/>
        </w:numPr>
        <w:spacing w:lineRule="auto" w:line="276" w:before="120" w:after="120"/>
        <w:contextualSpacing/>
        <w:jc w:val="both"/>
        <w:rPr>
          <w:sz w:val="21"/>
          <w:szCs w:val="21"/>
        </w:rPr>
      </w:pPr>
      <w:r>
        <w:rPr>
          <w:rFonts w:cs="Arial"/>
          <w:color w:val="000000"/>
          <w:sz w:val="21"/>
          <w:szCs w:val="21"/>
          <w:lang w:eastAsia="en-US"/>
        </w:rPr>
        <w:t>O recebimento provisório também ficará sujeito, quando cabível, à conclusão de todos os testes de campo e à entrega dos Manuais e Instruções exigíveis.</w:t>
      </w:r>
    </w:p>
    <w:p>
      <w:pPr>
        <w:pStyle w:val="Normal"/>
        <w:numPr>
          <w:ilvl w:val="2"/>
          <w:numId w:val="281"/>
        </w:numPr>
        <w:spacing w:lineRule="auto" w:line="276" w:before="120" w:after="120"/>
        <w:jc w:val="both"/>
        <w:rPr>
          <w:sz w:val="21"/>
          <w:szCs w:val="21"/>
        </w:rPr>
      </w:pPr>
      <w:r>
        <w:rPr>
          <w:rFonts w:cs="Arial"/>
          <w:color w:val="000000"/>
          <w:sz w:val="21"/>
          <w:szCs w:val="21"/>
          <w:lang w:eastAsia="en-US"/>
        </w:rPr>
        <w:t>No prazo de a</w:t>
      </w:r>
      <w:r>
        <w:rPr>
          <w:rFonts w:eastAsia="Times New Roman" w:cs="Arial"/>
          <w:color w:val="000000"/>
          <w:kern w:val="0"/>
          <w:sz w:val="21"/>
          <w:szCs w:val="21"/>
          <w:lang w:val="pt-BR" w:eastAsia="en-US" w:bidi="ar-SA"/>
        </w:rPr>
        <w:t xml:space="preserve">té </w:t>
      </w:r>
      <w:r>
        <w:rPr>
          <w:rFonts w:eastAsia="Times New Roman" w:cs="Arial"/>
          <w:i/>
          <w:color w:val="000000"/>
          <w:kern w:val="0"/>
          <w:sz w:val="21"/>
          <w:szCs w:val="21"/>
          <w:lang w:val="pt-BR" w:eastAsia="en-US" w:bidi="ar-SA"/>
        </w:rPr>
        <w:t>10 dias corridos</w:t>
      </w:r>
      <w:r>
        <w:rPr>
          <w:rFonts w:eastAsia="Times New Roman" w:cs="Arial"/>
          <w:color w:val="000000"/>
          <w:kern w:val="0"/>
          <w:sz w:val="21"/>
          <w:szCs w:val="21"/>
          <w:lang w:val="pt-BR" w:eastAsia="en-US" w:bidi="ar-SA"/>
        </w:rPr>
        <w:t xml:space="preserve"> a par</w:t>
      </w:r>
      <w:r>
        <w:rPr>
          <w:rFonts w:cs="Arial"/>
          <w:color w:val="000000"/>
          <w:sz w:val="21"/>
          <w:szCs w:val="21"/>
          <w:lang w:eastAsia="en-US"/>
        </w:rPr>
        <w:t xml:space="preserve">tir do recebimento dos documentos da CONTRATADA, cada fiscal ou a equipe de fiscalização deverá elaborar Relatório Circunstanciado em consonância com suas atribuições, e encaminhá-lo ao gestor do contrato. </w:t>
      </w:r>
    </w:p>
    <w:p>
      <w:pPr>
        <w:pStyle w:val="Normal"/>
        <w:numPr>
          <w:ilvl w:val="3"/>
          <w:numId w:val="282"/>
        </w:numPr>
        <w:spacing w:lineRule="auto" w:line="276" w:before="120" w:after="120"/>
        <w:jc w:val="both"/>
        <w:rPr>
          <w:sz w:val="21"/>
          <w:szCs w:val="21"/>
        </w:rPr>
      </w:pPr>
      <w:r>
        <w:rPr>
          <w:rFonts w:cs="Arial"/>
          <w:sz w:val="21"/>
          <w:szCs w:val="21"/>
        </w:rPr>
        <w:t xml:space="preserve">quando a fiscalização for exercida por um único servidor, o relatório circunstanciado </w:t>
      </w:r>
      <w:r>
        <w:rPr>
          <w:rFonts w:cs="Arial"/>
          <w:color w:val="000000"/>
          <w:sz w:val="21"/>
          <w:szCs w:val="21"/>
          <w:lang w:eastAsia="en-US"/>
        </w:rPr>
        <w:t>deverá</w:t>
      </w:r>
      <w:r>
        <w:rPr>
          <w:rFonts w:cs="Arial"/>
          <w:sz w:val="21"/>
          <w:szCs w:val="21"/>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pPr>
        <w:pStyle w:val="Normal"/>
        <w:numPr>
          <w:ilvl w:val="3"/>
          <w:numId w:val="283"/>
        </w:numPr>
        <w:spacing w:lineRule="auto" w:line="276" w:before="120" w:after="120"/>
        <w:jc w:val="both"/>
        <w:rPr>
          <w:sz w:val="21"/>
          <w:szCs w:val="21"/>
        </w:rPr>
      </w:pPr>
      <w:r>
        <w:rPr>
          <w:rFonts w:cs="Arial"/>
          <w:sz w:val="21"/>
          <w:szCs w:val="21"/>
        </w:rPr>
        <w:t xml:space="preserve">Será considerado como ocorrido o recebimento provisório com a entrega do relatório circunstanciado ou, em havendo mais de um a ser feito, com a entrega do último. </w:t>
      </w:r>
    </w:p>
    <w:p>
      <w:pPr>
        <w:pStyle w:val="ListParagraph"/>
        <w:numPr>
          <w:ilvl w:val="4"/>
          <w:numId w:val="284"/>
        </w:numPr>
        <w:spacing w:lineRule="auto" w:line="276" w:before="120" w:after="120"/>
        <w:contextualSpacing/>
        <w:jc w:val="both"/>
        <w:rPr>
          <w:sz w:val="21"/>
          <w:szCs w:val="21"/>
        </w:rPr>
      </w:pPr>
      <w:r>
        <w:rPr>
          <w:rFonts w:cs="Arial"/>
          <w:color w:val="000000" w:themeColor="text1"/>
          <w:sz w:val="21"/>
          <w:szCs w:val="21"/>
          <w:lang w:eastAsia="en-US"/>
        </w:rPr>
        <w:t>Na hipótese de a verificação a que se refere o parágrafo anterior não ser procedida tempestivamente, reputar-se-á como realizada, consumando-se o recebimento provisório no dia do esgotamento do prazo.</w:t>
      </w:r>
    </w:p>
    <w:p>
      <w:pPr>
        <w:pStyle w:val="Normal"/>
        <w:numPr>
          <w:ilvl w:val="1"/>
          <w:numId w:val="285"/>
        </w:numPr>
        <w:spacing w:lineRule="auto" w:line="276" w:before="120" w:after="120"/>
        <w:ind w:left="425" w:hanging="0"/>
        <w:jc w:val="both"/>
        <w:rPr>
          <w:sz w:val="21"/>
          <w:szCs w:val="21"/>
        </w:rPr>
      </w:pPr>
      <w:r>
        <w:rPr>
          <w:rFonts w:cs="Arial"/>
          <w:color w:val="000000"/>
          <w:sz w:val="21"/>
          <w:szCs w:val="21"/>
          <w:lang w:eastAsia="en-US"/>
        </w:rPr>
        <w:t xml:space="preserve">No </w:t>
      </w:r>
      <w:r>
        <w:rPr>
          <w:rFonts w:cs="Arial"/>
          <w:iCs/>
          <w:sz w:val="21"/>
          <w:szCs w:val="21"/>
        </w:rPr>
        <w:t>prazo</w:t>
      </w:r>
      <w:r>
        <w:rPr>
          <w:rFonts w:cs="Arial"/>
          <w:color w:val="000000"/>
          <w:sz w:val="21"/>
          <w:szCs w:val="21"/>
          <w:lang w:eastAsia="en-US"/>
        </w:rPr>
        <w:t xml:space="preserve"> d</w:t>
      </w:r>
      <w:r>
        <w:rPr>
          <w:rFonts w:eastAsia="Times New Roman" w:cs="Arial"/>
          <w:color w:val="000000"/>
          <w:kern w:val="0"/>
          <w:sz w:val="21"/>
          <w:szCs w:val="21"/>
          <w:lang w:val="pt-BR" w:eastAsia="en-US" w:bidi="ar-SA"/>
        </w:rPr>
        <w:t xml:space="preserve">e até </w:t>
      </w:r>
      <w:r>
        <w:rPr>
          <w:rFonts w:eastAsia="Times New Roman" w:cs="Arial"/>
          <w:i/>
          <w:color w:val="000000"/>
          <w:kern w:val="0"/>
          <w:sz w:val="21"/>
          <w:szCs w:val="21"/>
          <w:lang w:val="pt-BR" w:eastAsia="en-US" w:bidi="ar-SA"/>
        </w:rPr>
        <w:t>10 (dez) dias corridos</w:t>
      </w:r>
      <w:r>
        <w:rPr>
          <w:rFonts w:eastAsia="Times New Roman" w:cs="Arial"/>
          <w:color w:val="000000"/>
          <w:kern w:val="0"/>
          <w:sz w:val="21"/>
          <w:szCs w:val="21"/>
          <w:lang w:val="pt-BR" w:eastAsia="en-US" w:bidi="ar-SA"/>
        </w:rPr>
        <w:t xml:space="preserve"> a partir do recebimento provisório dos serviços, o Gestor do Contrato deverá providenciar o recebi</w:t>
      </w:r>
      <w:r>
        <w:rPr>
          <w:rFonts w:cs="Arial"/>
          <w:color w:val="000000"/>
          <w:sz w:val="21"/>
          <w:szCs w:val="21"/>
          <w:lang w:eastAsia="en-US"/>
        </w:rPr>
        <w:t xml:space="preserve">mento definitivo, ato que concretiza o ateste da execução dos serviços, obedecendo as seguintes diretrizes: </w:t>
      </w:r>
    </w:p>
    <w:p>
      <w:pPr>
        <w:pStyle w:val="Normal"/>
        <w:numPr>
          <w:ilvl w:val="2"/>
          <w:numId w:val="286"/>
        </w:numPr>
        <w:spacing w:lineRule="auto" w:line="276" w:before="120" w:after="120"/>
        <w:jc w:val="both"/>
        <w:rPr>
          <w:sz w:val="21"/>
          <w:szCs w:val="21"/>
        </w:rPr>
      </w:pPr>
      <w:r>
        <w:rPr>
          <w:rFonts w:cs="Arial"/>
          <w:color w:val="000000"/>
          <w:sz w:val="21"/>
          <w:szCs w:val="21"/>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pPr>
        <w:pStyle w:val="Normal"/>
        <w:numPr>
          <w:ilvl w:val="2"/>
          <w:numId w:val="287"/>
        </w:numPr>
        <w:spacing w:lineRule="auto" w:line="276" w:before="120" w:after="120"/>
        <w:jc w:val="both"/>
        <w:rPr>
          <w:sz w:val="21"/>
          <w:szCs w:val="21"/>
        </w:rPr>
      </w:pPr>
      <w:r>
        <w:rPr>
          <w:rFonts w:cs="Arial"/>
          <w:color w:val="000000"/>
          <w:sz w:val="21"/>
          <w:szCs w:val="21"/>
          <w:lang w:eastAsia="en-US"/>
        </w:rPr>
        <w:t xml:space="preserve">Emitir Termo Circunstanciado para efeito de recebimento definitivo dos serviços prestados, com base nos relatórios e documentações apresentadas; e </w:t>
      </w:r>
    </w:p>
    <w:p>
      <w:pPr>
        <w:pStyle w:val="Normal"/>
        <w:numPr>
          <w:ilvl w:val="2"/>
          <w:numId w:val="288"/>
        </w:numPr>
        <w:spacing w:lineRule="auto" w:line="276" w:before="120" w:after="120"/>
        <w:jc w:val="both"/>
        <w:rPr>
          <w:sz w:val="21"/>
          <w:szCs w:val="21"/>
        </w:rPr>
      </w:pPr>
      <w:r>
        <w:rPr>
          <w:rFonts w:cs="Arial"/>
          <w:color w:val="000000"/>
          <w:sz w:val="21"/>
          <w:szCs w:val="21"/>
          <w:lang w:eastAsia="en-US"/>
        </w:rPr>
        <w:t>Comunicar a empresa para que emita a Nota Fiscal ou Fatura, com o valor exato dimensionado pela fiscalização</w:t>
      </w:r>
      <w:r>
        <w:rPr>
          <w:rFonts w:cs="Arial"/>
          <w:i/>
          <w:color w:val="FF0000"/>
          <w:sz w:val="21"/>
          <w:szCs w:val="21"/>
          <w:lang w:eastAsia="en-US"/>
        </w:rPr>
        <w:t>.</w:t>
      </w:r>
    </w:p>
    <w:p>
      <w:pPr>
        <w:pStyle w:val="Normal"/>
        <w:numPr>
          <w:ilvl w:val="1"/>
          <w:numId w:val="289"/>
        </w:numPr>
        <w:spacing w:lineRule="auto" w:line="276" w:before="120" w:after="120"/>
        <w:ind w:left="425" w:hanging="0"/>
        <w:jc w:val="both"/>
        <w:rPr>
          <w:sz w:val="21"/>
          <w:szCs w:val="21"/>
        </w:rPr>
      </w:pPr>
      <w:r>
        <w:rPr>
          <w:rFonts w:cs="Arial"/>
          <w:sz w:val="21"/>
          <w:szCs w:val="21"/>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pPr>
        <w:pStyle w:val="Normal"/>
        <w:numPr>
          <w:ilvl w:val="1"/>
          <w:numId w:val="290"/>
        </w:numPr>
        <w:spacing w:lineRule="auto" w:line="276" w:before="120" w:after="120"/>
        <w:ind w:left="425" w:hanging="0"/>
        <w:jc w:val="both"/>
        <w:rPr>
          <w:sz w:val="21"/>
          <w:szCs w:val="21"/>
        </w:rPr>
      </w:pPr>
      <w:r>
        <w:rPr>
          <w:rFonts w:cs="Arial"/>
          <w:sz w:val="21"/>
          <w:szCs w:val="21"/>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pPr>
        <w:pStyle w:val="Nivel1"/>
        <w:numPr>
          <w:ilvl w:val="0"/>
          <w:numId w:val="4"/>
        </w:numPr>
        <w:rPr>
          <w:sz w:val="21"/>
          <w:szCs w:val="21"/>
        </w:rPr>
      </w:pPr>
      <w:r>
        <w:rPr>
          <w:rFonts w:cs="Arial"/>
          <w:color w:val="auto"/>
          <w:sz w:val="21"/>
          <w:szCs w:val="21"/>
        </w:rPr>
        <w:t>DO PAGAMENTO</w:t>
      </w:r>
    </w:p>
    <w:p>
      <w:pPr>
        <w:pStyle w:val="Normal"/>
        <w:numPr>
          <w:ilvl w:val="1"/>
          <w:numId w:val="291"/>
        </w:numPr>
        <w:spacing w:lineRule="auto" w:line="276" w:before="120" w:after="120"/>
        <w:ind w:left="425" w:hanging="0"/>
        <w:jc w:val="both"/>
        <w:rPr>
          <w:sz w:val="21"/>
          <w:szCs w:val="21"/>
        </w:rPr>
      </w:pPr>
      <w:r>
        <w:rPr>
          <w:rFonts w:cs="Arial"/>
          <w:iCs/>
          <w:sz w:val="21"/>
          <w:szCs w:val="21"/>
        </w:rPr>
        <w:t>A emissão da Nota Fiscal/Fatura será precedida do recebimento definitivo do serviço, conforme este Termo de Referência.</w:t>
      </w:r>
    </w:p>
    <w:p>
      <w:pPr>
        <w:pStyle w:val="Normal"/>
        <w:numPr>
          <w:ilvl w:val="1"/>
          <w:numId w:val="292"/>
        </w:numPr>
        <w:spacing w:lineRule="auto" w:line="276" w:before="120" w:after="120"/>
        <w:ind w:left="425" w:hanging="0"/>
        <w:jc w:val="both"/>
        <w:rPr>
          <w:sz w:val="21"/>
          <w:szCs w:val="21"/>
        </w:rPr>
      </w:pPr>
      <w:r>
        <w:rPr>
          <w:rFonts w:eastAsia="Times New Roman" w:cs="Arial"/>
          <w:iCs/>
          <w:color w:val="000000"/>
          <w:kern w:val="0"/>
          <w:sz w:val="21"/>
          <w:szCs w:val="21"/>
          <w:shd w:fill="auto" w:val="clear"/>
          <w:lang w:val="pt-BR" w:eastAsia="pt-BR" w:bidi="ar-SA"/>
        </w:rPr>
        <w:t xml:space="preserve">Quando houver glosa parcial dos serviços, a contratante deverá comunicar a empresa para que emita a nota fiscal ou fatura com o valor exato dimensionado. </w:t>
      </w:r>
    </w:p>
    <w:p>
      <w:pPr>
        <w:pStyle w:val="Normal"/>
        <w:numPr>
          <w:ilvl w:val="1"/>
          <w:numId w:val="293"/>
        </w:numPr>
        <w:spacing w:lineRule="auto" w:line="276" w:before="120" w:after="120"/>
        <w:ind w:left="425" w:hanging="0"/>
        <w:jc w:val="both"/>
        <w:rPr>
          <w:sz w:val="21"/>
          <w:szCs w:val="21"/>
        </w:rPr>
      </w:pPr>
      <w:r>
        <w:rPr>
          <w:rFonts w:cs="Arial"/>
          <w:color w:val="000000" w:themeColor="text1"/>
          <w:sz w:val="21"/>
          <w:szCs w:val="21"/>
        </w:rPr>
        <w:t xml:space="preserve">O </w:t>
      </w:r>
      <w:r>
        <w:rPr>
          <w:rFonts w:cs="Arial"/>
          <w:sz w:val="21"/>
          <w:szCs w:val="21"/>
        </w:rPr>
        <w:t>pagamento</w:t>
      </w:r>
      <w:r>
        <w:rPr>
          <w:rFonts w:cs="Arial"/>
          <w:color w:val="000000" w:themeColor="text1"/>
          <w:sz w:val="21"/>
          <w:szCs w:val="21"/>
        </w:rPr>
        <w:t xml:space="preserve"> será efetuado pela Contratante no prazo de</w:t>
      </w:r>
      <w:r>
        <w:rPr>
          <w:rFonts w:eastAsia="Times New Roman" w:cs="Arial"/>
          <w:color w:val="000000" w:themeColor="text1"/>
          <w:kern w:val="0"/>
          <w:sz w:val="21"/>
          <w:szCs w:val="21"/>
          <w:lang w:val="pt-BR" w:eastAsia="pt-BR" w:bidi="ar-SA"/>
        </w:rPr>
        <w:t xml:space="preserve"> 30</w:t>
      </w:r>
      <w:r>
        <w:rPr>
          <w:rFonts w:eastAsia="Times New Roman" w:cs="Arial"/>
          <w:i/>
          <w:iCs/>
          <w:color w:val="000000" w:themeColor="text1"/>
          <w:kern w:val="0"/>
          <w:sz w:val="21"/>
          <w:szCs w:val="21"/>
          <w:lang w:val="pt-BR" w:eastAsia="pt-BR" w:bidi="ar-SA"/>
        </w:rPr>
        <w:t xml:space="preserve">(trinta) </w:t>
      </w:r>
      <w:r>
        <w:rPr>
          <w:rFonts w:eastAsia="Times New Roman" w:cs="Arial"/>
          <w:color w:val="000000" w:themeColor="text1"/>
          <w:kern w:val="0"/>
          <w:sz w:val="21"/>
          <w:szCs w:val="21"/>
          <w:lang w:val="pt-BR" w:eastAsia="pt-BR" w:bidi="ar-SA"/>
        </w:rPr>
        <w:t>dia</w:t>
      </w:r>
      <w:r>
        <w:rPr>
          <w:rFonts w:cs="Arial"/>
          <w:color w:val="000000" w:themeColor="text1"/>
          <w:sz w:val="21"/>
          <w:szCs w:val="21"/>
        </w:rPr>
        <w:t xml:space="preserve">s, contados do recebimento da Nota Fiscal/Fatura. </w:t>
      </w:r>
    </w:p>
    <w:p>
      <w:pPr>
        <w:pStyle w:val="Normal"/>
        <w:numPr>
          <w:ilvl w:val="2"/>
          <w:numId w:val="294"/>
        </w:numPr>
        <w:spacing w:lineRule="auto" w:line="276" w:before="120" w:after="120"/>
        <w:jc w:val="both"/>
        <w:rPr>
          <w:sz w:val="21"/>
          <w:szCs w:val="21"/>
        </w:rPr>
      </w:pPr>
      <w:r>
        <w:rPr>
          <w:rFonts w:cs="Arial"/>
          <w:color w:val="000000"/>
          <w:sz w:val="21"/>
          <w:szCs w:val="21"/>
          <w:lang w:eastAsia="en-US"/>
        </w:rPr>
        <w:t xml:space="preserve">Os </w:t>
      </w:r>
      <w:r>
        <w:rPr>
          <w:rFonts w:cs="Arial"/>
          <w:sz w:val="21"/>
          <w:szCs w:val="21"/>
          <w:lang w:eastAsia="en-US"/>
        </w:rPr>
        <w:t xml:space="preserve">pagamentos decorrentes de despesas cujos valores não ultrapassem o limite </w:t>
      </w:r>
      <w:r>
        <w:rPr>
          <w:rFonts w:cs="Arial"/>
          <w:sz w:val="21"/>
          <w:szCs w:val="21"/>
        </w:rPr>
        <w:t>de que trata o inciso II do art. 24</w:t>
      </w:r>
      <w:r>
        <w:rPr>
          <w:rFonts w:cs="Arial"/>
          <w:sz w:val="21"/>
          <w:szCs w:val="21"/>
          <w:lang w:eastAsia="en-US"/>
        </w:rPr>
        <w:t xml:space="preserve"> da Lei 8.666, de 1993, deverão ser efetuados no prazo de até 5 (cinco) dias úteis, contados da data da apresentação da Nota Fiscal/Fatura, nos termos do art. 5º, § 3º, da Lei nº 8.666, </w:t>
      </w:r>
      <w:r>
        <w:rPr>
          <w:rFonts w:cs="Arial"/>
          <w:color w:val="000000"/>
          <w:sz w:val="21"/>
          <w:szCs w:val="21"/>
          <w:lang w:eastAsia="en-US"/>
        </w:rPr>
        <w:t>de 1993.</w:t>
      </w:r>
    </w:p>
    <w:p>
      <w:pPr>
        <w:pStyle w:val="Normal"/>
        <w:numPr>
          <w:ilvl w:val="1"/>
          <w:numId w:val="295"/>
        </w:numPr>
        <w:spacing w:lineRule="auto" w:line="276" w:before="120" w:after="120"/>
        <w:ind w:left="425" w:hanging="0"/>
        <w:jc w:val="both"/>
        <w:rPr>
          <w:sz w:val="21"/>
          <w:szCs w:val="21"/>
        </w:rPr>
      </w:pPr>
      <w:r>
        <w:rPr>
          <w:rFonts w:cs="Arial"/>
          <w:color w:val="000000"/>
          <w:sz w:val="21"/>
          <w:szCs w:val="21"/>
        </w:rPr>
        <w:t xml:space="preserve">A Nota Fiscal ou Fatura deverá ser obrigatoriamente acompanhada da comprovação da regularidade fiscal, constatada por meio de consulta on-line ao SICAF ou, na impossibilidade de acesso </w:t>
      </w:r>
      <w:r>
        <w:rPr>
          <w:rFonts w:cs="Arial"/>
          <w:color w:val="000000"/>
          <w:sz w:val="21"/>
          <w:szCs w:val="21"/>
          <w:lang w:eastAsia="en-US"/>
        </w:rPr>
        <w:t>ao</w:t>
      </w:r>
      <w:r>
        <w:rPr>
          <w:rFonts w:cs="Arial"/>
          <w:color w:val="000000"/>
          <w:sz w:val="21"/>
          <w:szCs w:val="21"/>
        </w:rPr>
        <w:t xml:space="preserve"> referido Sistema, mediante consulta aos sítios eletrônicos oficiais ou à documentação mencionada no art. 29 da Lei nº 8.666, de 1993. </w:t>
      </w:r>
    </w:p>
    <w:p>
      <w:pPr>
        <w:pStyle w:val="Normal"/>
        <w:numPr>
          <w:ilvl w:val="2"/>
          <w:numId w:val="296"/>
        </w:numPr>
        <w:spacing w:lineRule="auto" w:line="276" w:before="120" w:after="120"/>
        <w:jc w:val="both"/>
        <w:rPr>
          <w:sz w:val="21"/>
          <w:szCs w:val="21"/>
        </w:rPr>
      </w:pPr>
      <w:r>
        <w:rPr>
          <w:rFonts w:cs="Arial"/>
          <w:color w:val="000000"/>
          <w:sz w:val="21"/>
          <w:szCs w:val="21"/>
        </w:rPr>
        <w:t xml:space="preserve">Constatando-se, junto ao SICAF, a situação de irregularidade do fornecedor contratado, deverão ser tomadas as providências previstas no do art. 31 da Instrução </w:t>
      </w:r>
      <w:r>
        <w:rPr>
          <w:rFonts w:cs="Arial"/>
          <w:color w:val="000000"/>
          <w:sz w:val="21"/>
          <w:szCs w:val="21"/>
          <w:lang w:eastAsia="en-US"/>
        </w:rPr>
        <w:t>Normativa</w:t>
      </w:r>
      <w:r>
        <w:rPr>
          <w:rFonts w:cs="Arial"/>
          <w:color w:val="000000"/>
          <w:sz w:val="21"/>
          <w:szCs w:val="21"/>
        </w:rPr>
        <w:t xml:space="preserve"> nº 3, de 26 de abril de 2018.</w:t>
      </w:r>
    </w:p>
    <w:p>
      <w:pPr>
        <w:pStyle w:val="Normal"/>
        <w:numPr>
          <w:ilvl w:val="1"/>
          <w:numId w:val="297"/>
        </w:numPr>
        <w:spacing w:lineRule="auto" w:line="276" w:before="120" w:after="120"/>
        <w:ind w:left="425" w:hanging="0"/>
        <w:jc w:val="both"/>
        <w:rPr>
          <w:sz w:val="21"/>
          <w:szCs w:val="21"/>
        </w:rPr>
      </w:pPr>
      <w:r>
        <w:rPr>
          <w:rFonts w:cs="Arial"/>
          <w:color w:val="000000"/>
          <w:sz w:val="21"/>
          <w:szCs w:val="21"/>
        </w:rPr>
        <w:t xml:space="preserve">O setor competente para proceder o pagamento deve verificar se a Nota Fiscal ou Fatura apresentada expressa os elementos necessários e essenciais do documento, tais como: </w:t>
      </w:r>
    </w:p>
    <w:p>
      <w:pPr>
        <w:pStyle w:val="Normal"/>
        <w:numPr>
          <w:ilvl w:val="2"/>
          <w:numId w:val="298"/>
        </w:numPr>
        <w:spacing w:lineRule="auto" w:line="276" w:before="120" w:after="120"/>
        <w:jc w:val="both"/>
        <w:rPr>
          <w:sz w:val="21"/>
          <w:szCs w:val="21"/>
        </w:rPr>
      </w:pPr>
      <w:r>
        <w:rPr>
          <w:rFonts w:cs="Arial"/>
          <w:color w:val="000000"/>
          <w:sz w:val="21"/>
          <w:szCs w:val="21"/>
        </w:rPr>
        <w:t xml:space="preserve">o prazo de validade; </w:t>
      </w:r>
    </w:p>
    <w:p>
      <w:pPr>
        <w:pStyle w:val="Normal"/>
        <w:numPr>
          <w:ilvl w:val="2"/>
          <w:numId w:val="299"/>
        </w:numPr>
        <w:spacing w:lineRule="auto" w:line="276" w:before="120" w:after="120"/>
        <w:jc w:val="both"/>
        <w:rPr>
          <w:sz w:val="21"/>
          <w:szCs w:val="21"/>
        </w:rPr>
      </w:pPr>
      <w:r>
        <w:rPr>
          <w:rFonts w:cs="Arial"/>
          <w:color w:val="000000"/>
          <w:sz w:val="21"/>
          <w:szCs w:val="21"/>
        </w:rPr>
        <w:t xml:space="preserve">a data da emissão; </w:t>
      </w:r>
    </w:p>
    <w:p>
      <w:pPr>
        <w:pStyle w:val="Normal"/>
        <w:numPr>
          <w:ilvl w:val="2"/>
          <w:numId w:val="300"/>
        </w:numPr>
        <w:spacing w:lineRule="auto" w:line="276" w:before="120" w:after="120"/>
        <w:jc w:val="both"/>
        <w:rPr>
          <w:sz w:val="21"/>
          <w:szCs w:val="21"/>
        </w:rPr>
      </w:pPr>
      <w:r>
        <w:rPr>
          <w:rFonts w:cs="Arial"/>
          <w:color w:val="000000"/>
          <w:sz w:val="21"/>
          <w:szCs w:val="21"/>
        </w:rPr>
        <w:t xml:space="preserve">os dados do contrato e do órgão contratante; </w:t>
      </w:r>
    </w:p>
    <w:p>
      <w:pPr>
        <w:pStyle w:val="Normal"/>
        <w:numPr>
          <w:ilvl w:val="2"/>
          <w:numId w:val="301"/>
        </w:numPr>
        <w:spacing w:lineRule="auto" w:line="276" w:before="120" w:after="120"/>
        <w:jc w:val="both"/>
        <w:rPr>
          <w:sz w:val="21"/>
          <w:szCs w:val="21"/>
        </w:rPr>
      </w:pPr>
      <w:r>
        <w:rPr>
          <w:rFonts w:cs="Arial"/>
          <w:color w:val="000000"/>
          <w:sz w:val="21"/>
          <w:szCs w:val="21"/>
        </w:rPr>
        <w:t xml:space="preserve">o período de prestação dos serviços; </w:t>
      </w:r>
    </w:p>
    <w:p>
      <w:pPr>
        <w:pStyle w:val="Normal"/>
        <w:numPr>
          <w:ilvl w:val="2"/>
          <w:numId w:val="302"/>
        </w:numPr>
        <w:spacing w:lineRule="auto" w:line="276" w:before="120" w:after="120"/>
        <w:jc w:val="both"/>
        <w:rPr>
          <w:sz w:val="21"/>
          <w:szCs w:val="21"/>
        </w:rPr>
      </w:pPr>
      <w:r>
        <w:rPr>
          <w:rFonts w:cs="Arial"/>
          <w:color w:val="000000"/>
          <w:sz w:val="21"/>
          <w:szCs w:val="21"/>
        </w:rPr>
        <w:t xml:space="preserve">o valor a pagar; e </w:t>
      </w:r>
    </w:p>
    <w:p>
      <w:pPr>
        <w:pStyle w:val="Normal"/>
        <w:numPr>
          <w:ilvl w:val="2"/>
          <w:numId w:val="303"/>
        </w:numPr>
        <w:spacing w:lineRule="auto" w:line="276" w:before="120" w:after="120"/>
        <w:jc w:val="both"/>
        <w:rPr>
          <w:sz w:val="21"/>
          <w:szCs w:val="21"/>
        </w:rPr>
      </w:pPr>
      <w:r>
        <w:rPr>
          <w:rFonts w:cs="Arial"/>
          <w:color w:val="000000"/>
          <w:sz w:val="21"/>
          <w:szCs w:val="21"/>
        </w:rPr>
        <w:t>eventual destaque do valor de retenções tributárias cabíveis.</w:t>
      </w:r>
    </w:p>
    <w:p>
      <w:pPr>
        <w:pStyle w:val="Normal"/>
        <w:numPr>
          <w:ilvl w:val="1"/>
          <w:numId w:val="304"/>
        </w:numPr>
        <w:spacing w:lineRule="auto" w:line="276" w:before="120" w:after="120"/>
        <w:ind w:left="425" w:hanging="0"/>
        <w:jc w:val="both"/>
        <w:rPr>
          <w:sz w:val="21"/>
          <w:szCs w:val="21"/>
        </w:rPr>
      </w:pPr>
      <w:r>
        <w:rPr>
          <w:rFonts w:cs="Arial"/>
          <w:iCs/>
          <w:sz w:val="21"/>
          <w:szCs w:val="21"/>
        </w:rPr>
        <w:t xml:space="preserve">Havendo erro </w:t>
      </w:r>
      <w:r>
        <w:rPr>
          <w:rFonts w:cs="Arial"/>
          <w:color w:val="000000"/>
          <w:sz w:val="21"/>
          <w:szCs w:val="21"/>
        </w:rPr>
        <w:t>na</w:t>
      </w:r>
      <w:r>
        <w:rPr>
          <w:rFonts w:cs="Arial"/>
          <w:iCs/>
          <w:sz w:val="21"/>
          <w:szCs w:val="21"/>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pPr>
        <w:pStyle w:val="Normal"/>
        <w:numPr>
          <w:ilvl w:val="1"/>
          <w:numId w:val="305"/>
        </w:numPr>
        <w:spacing w:lineRule="auto" w:line="276" w:before="120" w:after="120"/>
        <w:ind w:left="425" w:hanging="0"/>
        <w:jc w:val="both"/>
        <w:rPr>
          <w:sz w:val="21"/>
          <w:szCs w:val="21"/>
        </w:rPr>
      </w:pPr>
      <w:r>
        <w:rPr>
          <w:rFonts w:cs="Arial"/>
          <w:sz w:val="21"/>
          <w:szCs w:val="21"/>
          <w:lang w:eastAsia="en-US"/>
        </w:rPr>
        <w:t>Será considerada data do pagamento o dia em que constar como emitida a ordem bancária para pagamento.</w:t>
      </w:r>
    </w:p>
    <w:p>
      <w:pPr>
        <w:pStyle w:val="Normal"/>
        <w:numPr>
          <w:ilvl w:val="1"/>
          <w:numId w:val="306"/>
        </w:numPr>
        <w:spacing w:lineRule="auto" w:line="276" w:before="120" w:after="120"/>
        <w:ind w:left="425" w:hanging="0"/>
        <w:jc w:val="both"/>
        <w:rPr>
          <w:sz w:val="21"/>
          <w:szCs w:val="21"/>
        </w:rPr>
      </w:pPr>
      <w:r>
        <w:rPr>
          <w:rFonts w:cs="Arial"/>
          <w:sz w:val="21"/>
          <w:szCs w:val="21"/>
          <w:lang w:eastAsia="en-US"/>
        </w:rPr>
        <w:t xml:space="preserve">Antes de cada pagamento à contratada, será realizada consulta ao SICAF para verificar a manutenção das condições de habilitação exigidas. </w:t>
      </w:r>
    </w:p>
    <w:p>
      <w:pPr>
        <w:pStyle w:val="Normal"/>
        <w:numPr>
          <w:ilvl w:val="1"/>
          <w:numId w:val="307"/>
        </w:numPr>
        <w:spacing w:lineRule="auto" w:line="276" w:before="120" w:after="120"/>
        <w:ind w:left="425" w:hanging="0"/>
        <w:jc w:val="both"/>
        <w:rPr>
          <w:sz w:val="21"/>
          <w:szCs w:val="21"/>
        </w:rPr>
      </w:pPr>
      <w:r>
        <w:rPr>
          <w:rFonts w:cs="Arial"/>
          <w:sz w:val="21"/>
          <w:szCs w:val="21"/>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pPr>
        <w:pStyle w:val="Normal"/>
        <w:numPr>
          <w:ilvl w:val="1"/>
          <w:numId w:val="308"/>
        </w:numPr>
        <w:spacing w:lineRule="auto" w:line="276" w:before="120" w:after="120"/>
        <w:ind w:left="425" w:hanging="0"/>
        <w:jc w:val="both"/>
        <w:rPr>
          <w:sz w:val="21"/>
          <w:szCs w:val="21"/>
        </w:rPr>
      </w:pPr>
      <w:r>
        <w:rPr>
          <w:rFonts w:cs="Arial"/>
          <w:sz w:val="21"/>
          <w:szCs w:val="21"/>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Normal"/>
        <w:numPr>
          <w:ilvl w:val="1"/>
          <w:numId w:val="309"/>
        </w:numPr>
        <w:spacing w:lineRule="auto" w:line="276" w:before="120" w:after="120"/>
        <w:ind w:left="425" w:hanging="0"/>
        <w:jc w:val="both"/>
        <w:rPr>
          <w:sz w:val="21"/>
          <w:szCs w:val="21"/>
        </w:rPr>
      </w:pPr>
      <w:r>
        <w:rPr>
          <w:rFonts w:cs="Arial"/>
          <w:sz w:val="21"/>
          <w:szCs w:val="21"/>
          <w:lang w:eastAsia="en-US"/>
        </w:rPr>
        <w:t xml:space="preserve">Persistindo a irregularidade, a contratante deverá adotar as medidas necessárias à rescisão contratual nos autos do processo administrativo correspondente, assegurada à contratada a ampla defesa. </w:t>
      </w:r>
    </w:p>
    <w:p>
      <w:pPr>
        <w:pStyle w:val="Normal"/>
        <w:numPr>
          <w:ilvl w:val="1"/>
          <w:numId w:val="310"/>
        </w:numPr>
        <w:spacing w:lineRule="auto" w:line="276" w:before="120" w:after="120"/>
        <w:ind w:left="425" w:hanging="0"/>
        <w:jc w:val="both"/>
        <w:rPr>
          <w:sz w:val="21"/>
          <w:szCs w:val="21"/>
        </w:rPr>
      </w:pPr>
      <w:r>
        <w:rPr>
          <w:rFonts w:cs="Arial"/>
          <w:sz w:val="21"/>
          <w:szCs w:val="21"/>
          <w:lang w:eastAsia="en-US"/>
        </w:rPr>
        <w:t xml:space="preserve">Havendo a efetiva execução do objeto, os pagamentos serão realizados normalmente, até que se decida pela rescisão do contrato, caso a contratada não regularize sua situação junto ao SICAF.  </w:t>
      </w:r>
    </w:p>
    <w:p>
      <w:pPr>
        <w:pStyle w:val="Normal"/>
        <w:numPr>
          <w:ilvl w:val="2"/>
          <w:numId w:val="311"/>
        </w:numPr>
        <w:spacing w:lineRule="auto" w:line="276" w:before="120" w:after="120"/>
        <w:jc w:val="both"/>
        <w:rPr>
          <w:sz w:val="21"/>
          <w:szCs w:val="21"/>
        </w:rPr>
      </w:pPr>
      <w:r>
        <w:rPr>
          <w:rFonts w:cs="Arial"/>
          <w:sz w:val="21"/>
          <w:szCs w:val="21"/>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pPr>
        <w:pStyle w:val="Normal"/>
        <w:numPr>
          <w:ilvl w:val="1"/>
          <w:numId w:val="312"/>
        </w:numPr>
        <w:spacing w:lineRule="auto" w:line="276" w:before="120" w:after="120"/>
        <w:ind w:left="425" w:hanging="0"/>
        <w:jc w:val="both"/>
        <w:rPr>
          <w:sz w:val="21"/>
          <w:szCs w:val="21"/>
        </w:rPr>
      </w:pPr>
      <w:r>
        <w:rPr>
          <w:rFonts w:cs="Arial"/>
          <w:sz w:val="21"/>
          <w:szCs w:val="21"/>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pStyle w:val="Normal"/>
        <w:numPr>
          <w:ilvl w:val="1"/>
          <w:numId w:val="313"/>
        </w:numPr>
        <w:spacing w:lineRule="auto" w:line="276" w:before="120" w:after="120"/>
        <w:ind w:left="425" w:hanging="0"/>
        <w:jc w:val="both"/>
        <w:rPr>
          <w:sz w:val="21"/>
          <w:szCs w:val="21"/>
        </w:rPr>
      </w:pPr>
      <w:r>
        <w:rPr>
          <w:rFonts w:cs="Arial"/>
          <w:sz w:val="21"/>
          <w:szCs w:val="21"/>
          <w:lang w:eastAsia="en-US"/>
        </w:rPr>
        <w:t>Quando do pagamento, será efetuada a retenção tributária prevista na legislação aplicável, em especial a prevista no artigo 31 da Lei 8.212, de 1993, nos termos do item 6 do Anexo XI da IN SEGES/MP n. 5/2017, quando couber.</w:t>
      </w:r>
    </w:p>
    <w:p>
      <w:pPr>
        <w:pStyle w:val="Normal"/>
        <w:numPr>
          <w:ilvl w:val="1"/>
          <w:numId w:val="314"/>
        </w:numPr>
        <w:spacing w:lineRule="auto" w:line="276" w:before="120" w:after="120"/>
        <w:ind w:left="425" w:hanging="0"/>
        <w:jc w:val="both"/>
        <w:rPr>
          <w:sz w:val="21"/>
          <w:szCs w:val="21"/>
        </w:rPr>
      </w:pPr>
      <w:r>
        <w:rPr>
          <w:rFonts w:cs="Arial"/>
          <w:sz w:val="21"/>
          <w:szCs w:val="21"/>
          <w:lang w:eastAsia="en-US"/>
        </w:rPr>
        <w:t xml:space="preserve">É vedado o pagamento, a qualquer título, por serviços prestados, à empresa privada que tenha em seu quadro societário servidor público da ativa do órgão contratante, com </w:t>
      </w:r>
      <w:r>
        <w:rPr>
          <w:rFonts w:eastAsia="Times New Roman" w:cs="Arial"/>
          <w:color w:val="000000"/>
          <w:kern w:val="0"/>
          <w:sz w:val="21"/>
          <w:szCs w:val="21"/>
          <w:shd w:fill="auto" w:val="clear"/>
          <w:lang w:val="pt-BR" w:eastAsia="en-US" w:bidi="ar-SA"/>
        </w:rPr>
        <w:t>fundamento na Lei de Diretrizes Orçamentárias vigente.</w:t>
      </w:r>
    </w:p>
    <w:p>
      <w:pPr>
        <w:pStyle w:val="Normal"/>
        <w:numPr>
          <w:ilvl w:val="1"/>
          <w:numId w:val="315"/>
        </w:numPr>
        <w:spacing w:lineRule="auto" w:line="276" w:before="120" w:after="120"/>
        <w:jc w:val="both"/>
        <w:rPr>
          <w:sz w:val="21"/>
          <w:szCs w:val="21"/>
        </w:rPr>
      </w:pPr>
      <w:r>
        <w:rPr>
          <w:rFonts w:eastAsia="Times New Roman" w:cs="Arial"/>
          <w:color w:val="000000"/>
          <w:kern w:val="0"/>
          <w:sz w:val="21"/>
          <w:szCs w:val="21"/>
          <w:shd w:fill="auto" w:val="clear"/>
          <w:lang w:val="pt-BR" w:eastAsia="en-US" w:bidi="ar-SA"/>
        </w:rPr>
        <w:t xml:space="preserve">  </w:t>
      </w:r>
      <w:r>
        <w:rPr>
          <w:rFonts w:eastAsia="Times New Roman" w:cs="Arial"/>
          <w:color w:val="000000"/>
          <w:kern w:val="0"/>
          <w:sz w:val="21"/>
          <w:szCs w:val="21"/>
          <w:shd w:fill="auto" w:val="clear"/>
          <w:lang w:val="pt-BR" w:eastAsia="en-US" w:bidi="ar-SA"/>
        </w:rPr>
        <w:t>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pPr>
        <w:pStyle w:val="Normal"/>
        <w:spacing w:lineRule="auto" w:line="276"/>
        <w:ind w:left="426" w:firstLine="708"/>
        <w:jc w:val="both"/>
        <w:rPr>
          <w:sz w:val="21"/>
          <w:szCs w:val="21"/>
        </w:rPr>
      </w:pPr>
      <w:r>
        <w:rPr>
          <w:rFonts w:eastAsia="Times New Roman" w:cs="Arial"/>
          <w:color w:val="000000"/>
          <w:kern w:val="0"/>
          <w:sz w:val="21"/>
          <w:szCs w:val="21"/>
          <w:shd w:fill="auto" w:val="clear"/>
          <w:lang w:val="pt-BR" w:eastAsia="en-US" w:bidi="ar-SA"/>
        </w:rPr>
        <w:t>EM = I x N x VP, sendo:</w:t>
      </w:r>
    </w:p>
    <w:p>
      <w:pPr>
        <w:pStyle w:val="Normal"/>
        <w:tabs>
          <w:tab w:val="clear" w:pos="720"/>
          <w:tab w:val="left" w:pos="1701" w:leader="none"/>
        </w:tabs>
        <w:spacing w:lineRule="auto" w:line="276"/>
        <w:ind w:firstLine="1134"/>
        <w:jc w:val="both"/>
        <w:rPr>
          <w:sz w:val="21"/>
          <w:szCs w:val="21"/>
        </w:rPr>
      </w:pPr>
      <w:r>
        <w:rPr>
          <w:rFonts w:cs="Arial"/>
          <w:color w:val="000000"/>
          <w:sz w:val="21"/>
          <w:szCs w:val="21"/>
        </w:rPr>
        <w:t>EM = Encargos moratórios;</w:t>
      </w:r>
    </w:p>
    <w:p>
      <w:pPr>
        <w:pStyle w:val="Normal"/>
        <w:tabs>
          <w:tab w:val="clear" w:pos="720"/>
          <w:tab w:val="left" w:pos="1701" w:leader="none"/>
        </w:tabs>
        <w:spacing w:lineRule="auto" w:line="276"/>
        <w:ind w:firstLine="1134"/>
        <w:jc w:val="both"/>
        <w:rPr>
          <w:sz w:val="21"/>
          <w:szCs w:val="21"/>
        </w:rPr>
      </w:pPr>
      <w:r>
        <w:rPr>
          <w:rFonts w:cs="Arial"/>
          <w:color w:val="000000"/>
          <w:sz w:val="21"/>
          <w:szCs w:val="21"/>
        </w:rPr>
        <w:t>N = Número de dias entre a data prevista para o pagamento e a do efetivo pagamento;</w:t>
      </w:r>
    </w:p>
    <w:p>
      <w:pPr>
        <w:pStyle w:val="Normal"/>
        <w:tabs>
          <w:tab w:val="clear" w:pos="720"/>
          <w:tab w:val="left" w:pos="1701" w:leader="none"/>
        </w:tabs>
        <w:spacing w:lineRule="auto" w:line="276"/>
        <w:ind w:firstLine="1134"/>
        <w:jc w:val="both"/>
        <w:rPr>
          <w:sz w:val="21"/>
          <w:szCs w:val="21"/>
        </w:rPr>
      </w:pPr>
      <w:r>
        <w:rPr>
          <w:rFonts w:cs="Arial"/>
          <w:color w:val="000000"/>
          <w:sz w:val="21"/>
          <w:szCs w:val="21"/>
        </w:rPr>
        <w:t>VP = Valor da parcela a ser paga.</w:t>
      </w:r>
    </w:p>
    <w:p>
      <w:pPr>
        <w:pStyle w:val="Normal"/>
        <w:tabs>
          <w:tab w:val="clear" w:pos="720"/>
          <w:tab w:val="left" w:pos="1701" w:leader="none"/>
        </w:tabs>
        <w:spacing w:lineRule="auto" w:line="276"/>
        <w:ind w:firstLine="1134"/>
        <w:jc w:val="both"/>
        <w:rPr>
          <w:sz w:val="21"/>
          <w:szCs w:val="21"/>
        </w:rPr>
      </w:pPr>
      <w:r>
        <w:rPr>
          <w:rFonts w:cs="Arial"/>
          <w:color w:val="000000"/>
          <w:sz w:val="21"/>
          <w:szCs w:val="21"/>
        </w:rPr>
        <w:t>I = Índice de compensação financeira = 0,00016438, assim apurado:</w:t>
      </w:r>
    </w:p>
    <w:tbl>
      <w:tblPr>
        <w:tblStyle w:val="Tabelacomgrade"/>
        <w:tblW w:w="8646" w:type="dxa"/>
        <w:jc w:val="left"/>
        <w:tblInd w:w="533" w:type="dxa"/>
        <w:tblLayout w:type="fixed"/>
        <w:tblCellMar>
          <w:top w:w="0" w:type="dxa"/>
          <w:left w:w="108" w:type="dxa"/>
          <w:bottom w:w="0" w:type="dxa"/>
          <w:right w:w="108" w:type="dxa"/>
        </w:tblCellMar>
        <w:tblLook w:firstRow="1" w:noVBand="1" w:lastRow="0" w:firstColumn="1" w:lastColumn="0" w:noHBand="0" w:val="04a0"/>
      </w:tblPr>
      <w:tblGrid>
        <w:gridCol w:w="2149"/>
        <w:gridCol w:w="441"/>
        <w:gridCol w:w="1247"/>
        <w:gridCol w:w="4808"/>
      </w:tblGrid>
      <w:tr>
        <w:trPr/>
        <w:tc>
          <w:tcPr>
            <w:tcW w:w="2149" w:type="dxa"/>
            <w:vMerge w:val="restart"/>
            <w:tcBorders>
              <w:top w:val="nil"/>
              <w:left w:val="nil"/>
              <w:bottom w:val="nil"/>
              <w:right w:val="nil"/>
            </w:tcBorders>
            <w:vAlign w:val="center"/>
          </w:tcPr>
          <w:p>
            <w:pPr>
              <w:pStyle w:val="Normal"/>
              <w:widowControl w:val="false"/>
              <w:tabs>
                <w:tab w:val="clear" w:pos="720"/>
                <w:tab w:val="left" w:pos="1701" w:leader="none"/>
              </w:tabs>
              <w:suppressAutoHyphens w:val="true"/>
              <w:spacing w:lineRule="auto" w:line="276" w:before="0" w:after="0"/>
              <w:jc w:val="both"/>
              <w:rPr>
                <w:rFonts w:cs="Arial"/>
                <w:color w:val="000000"/>
                <w:sz w:val="21"/>
                <w:szCs w:val="21"/>
              </w:rPr>
            </w:pPr>
            <w:r>
              <w:rPr>
                <w:rFonts w:eastAsia="ＭＳ 明朝" w:cs="Arial"/>
                <w:color w:val="000000"/>
                <w:kern w:val="0"/>
                <w:sz w:val="21"/>
                <w:szCs w:val="21"/>
                <w:lang w:val="pt-BR" w:eastAsia="en-US" w:bidi="ar-SA"/>
              </w:rPr>
              <w:t>I = (TX)</w:t>
            </w:r>
          </w:p>
        </w:tc>
        <w:tc>
          <w:tcPr>
            <w:tcW w:w="441" w:type="dxa"/>
            <w:vMerge w:val="restart"/>
            <w:tcBorders>
              <w:top w:val="nil"/>
              <w:left w:val="nil"/>
              <w:bottom w:val="nil"/>
              <w:right w:val="nil"/>
            </w:tcBorders>
            <w:vAlign w:val="center"/>
          </w:tcPr>
          <w:p>
            <w:pPr>
              <w:pStyle w:val="Normal"/>
              <w:widowControl w:val="false"/>
              <w:tabs>
                <w:tab w:val="clear" w:pos="720"/>
                <w:tab w:val="left" w:pos="1701" w:leader="none"/>
              </w:tabs>
              <w:suppressAutoHyphens w:val="true"/>
              <w:spacing w:lineRule="auto" w:line="276" w:before="0" w:after="0"/>
              <w:jc w:val="both"/>
              <w:rPr>
                <w:rFonts w:cs="Arial"/>
                <w:color w:val="000000"/>
                <w:sz w:val="21"/>
                <w:szCs w:val="21"/>
              </w:rPr>
            </w:pPr>
            <w:r>
              <w:rPr>
                <w:rFonts w:eastAsia="ＭＳ 明朝" w:cs="Arial"/>
                <w:color w:val="000000"/>
                <w:kern w:val="0"/>
                <w:sz w:val="21"/>
                <w:szCs w:val="21"/>
                <w:lang w:val="pt-BR" w:eastAsia="en-US" w:bidi="ar-SA"/>
              </w:rPr>
              <w:t>I =</w:t>
            </w:r>
          </w:p>
        </w:tc>
        <w:tc>
          <w:tcPr>
            <w:tcW w:w="1247" w:type="dxa"/>
            <w:tcBorders>
              <w:top w:val="nil"/>
              <w:left w:val="nil"/>
              <w:right w:val="nil"/>
            </w:tcBorders>
          </w:tcPr>
          <w:p>
            <w:pPr>
              <w:pStyle w:val="Normal"/>
              <w:widowControl w:val="false"/>
              <w:tabs>
                <w:tab w:val="clear" w:pos="720"/>
                <w:tab w:val="left" w:pos="1701" w:leader="none"/>
              </w:tabs>
              <w:suppressAutoHyphens w:val="true"/>
              <w:spacing w:lineRule="auto" w:line="276" w:before="0" w:after="0"/>
              <w:jc w:val="both"/>
              <w:rPr>
                <w:rFonts w:cs="Arial"/>
                <w:color w:val="000000"/>
                <w:sz w:val="21"/>
                <w:szCs w:val="21"/>
              </w:rPr>
            </w:pPr>
            <w:r>
              <w:rPr>
                <w:rFonts w:eastAsia="ＭＳ 明朝" w:cs="Arial"/>
                <w:color w:val="000000"/>
                <w:kern w:val="0"/>
                <w:sz w:val="21"/>
                <w:szCs w:val="21"/>
                <w:lang w:val="pt-BR" w:eastAsia="en-US" w:bidi="ar-SA"/>
              </w:rPr>
              <w:t>( 6 / 100 )</w:t>
            </w:r>
          </w:p>
        </w:tc>
        <w:tc>
          <w:tcPr>
            <w:tcW w:w="4808" w:type="dxa"/>
            <w:vMerge w:val="restart"/>
            <w:tcBorders>
              <w:top w:val="nil"/>
              <w:left w:val="nil"/>
              <w:bottom w:val="nil"/>
              <w:right w:val="nil"/>
            </w:tcBorders>
            <w:vAlign w:val="center"/>
          </w:tcPr>
          <w:p>
            <w:pPr>
              <w:pStyle w:val="Normal"/>
              <w:widowControl w:val="false"/>
              <w:tabs>
                <w:tab w:val="clear" w:pos="720"/>
                <w:tab w:val="left" w:pos="1701" w:leader="none"/>
              </w:tabs>
              <w:suppressAutoHyphens w:val="true"/>
              <w:spacing w:lineRule="auto" w:line="276" w:before="0" w:after="0"/>
              <w:ind w:left="742" w:hanging="0"/>
              <w:jc w:val="both"/>
              <w:rPr>
                <w:rFonts w:cs="Arial"/>
                <w:color w:val="000000"/>
                <w:sz w:val="21"/>
                <w:szCs w:val="21"/>
              </w:rPr>
            </w:pPr>
            <w:r>
              <w:rPr>
                <w:rFonts w:eastAsia="ＭＳ 明朝" w:cs="Arial"/>
                <w:color w:val="000000"/>
                <w:kern w:val="0"/>
                <w:sz w:val="21"/>
                <w:szCs w:val="21"/>
                <w:lang w:val="pt-BR" w:eastAsia="en-US" w:bidi="ar-SA"/>
              </w:rPr>
              <w:t>I = 0,00016438</w:t>
            </w:r>
          </w:p>
          <w:p>
            <w:pPr>
              <w:pStyle w:val="Normal"/>
              <w:widowControl w:val="false"/>
              <w:tabs>
                <w:tab w:val="clear" w:pos="720"/>
                <w:tab w:val="left" w:pos="1701" w:leader="none"/>
              </w:tabs>
              <w:suppressAutoHyphens w:val="true"/>
              <w:spacing w:lineRule="auto" w:line="276" w:before="0" w:after="0"/>
              <w:ind w:left="742" w:hanging="0"/>
              <w:jc w:val="both"/>
              <w:rPr>
                <w:rFonts w:cs="Arial"/>
                <w:color w:val="000000"/>
                <w:sz w:val="21"/>
                <w:szCs w:val="21"/>
              </w:rPr>
            </w:pPr>
            <w:r>
              <w:rPr>
                <w:rFonts w:eastAsia="ＭＳ 明朝" w:cs="Arial"/>
                <w:color w:val="000000"/>
                <w:kern w:val="0"/>
                <w:sz w:val="21"/>
                <w:szCs w:val="21"/>
                <w:lang w:val="pt-BR" w:eastAsia="en-US" w:bidi="ar-SA"/>
              </w:rPr>
              <w:t>TX = Percentual da taxa anual = 6%</w:t>
            </w:r>
          </w:p>
          <w:p>
            <w:pPr>
              <w:pStyle w:val="Normal"/>
              <w:widowControl w:val="false"/>
              <w:tabs>
                <w:tab w:val="clear" w:pos="720"/>
                <w:tab w:val="left" w:pos="1701" w:leader="none"/>
              </w:tabs>
              <w:suppressAutoHyphens w:val="true"/>
              <w:spacing w:lineRule="auto" w:line="276" w:before="0" w:after="0"/>
              <w:ind w:left="742" w:hanging="0"/>
              <w:jc w:val="both"/>
              <w:rPr>
                <w:rFonts w:cs="Arial"/>
                <w:color w:val="000000"/>
                <w:sz w:val="21"/>
                <w:szCs w:val="21"/>
              </w:rPr>
            </w:pPr>
            <w:r>
              <w:rPr>
                <w:rFonts w:cs="Arial"/>
                <w:color w:val="000000"/>
                <w:sz w:val="21"/>
                <w:szCs w:val="21"/>
              </w:rPr>
            </w:r>
          </w:p>
        </w:tc>
      </w:tr>
      <w:tr>
        <w:trPr/>
        <w:tc>
          <w:tcPr>
            <w:tcW w:w="2149" w:type="dxa"/>
            <w:vMerge w:val="continue"/>
            <w:tcBorders>
              <w:top w:val="nil"/>
              <w:left w:val="nil"/>
              <w:bottom w:val="nil"/>
              <w:right w:val="nil"/>
            </w:tcBorders>
            <w:vAlign w:val="center"/>
          </w:tcPr>
          <w:p>
            <w:pPr>
              <w:pStyle w:val="Normal"/>
              <w:widowControl w:val="false"/>
              <w:suppressAutoHyphens w:val="true"/>
              <w:spacing w:before="0" w:after="0"/>
              <w:jc w:val="left"/>
              <w:rPr>
                <w:rFonts w:cs="Arial"/>
                <w:color w:val="000000"/>
                <w:sz w:val="21"/>
                <w:szCs w:val="21"/>
              </w:rPr>
            </w:pPr>
            <w:r>
              <w:rPr>
                <w:rFonts w:cs="Arial"/>
                <w:color w:val="000000"/>
                <w:sz w:val="21"/>
                <w:szCs w:val="21"/>
              </w:rPr>
            </w:r>
          </w:p>
        </w:tc>
        <w:tc>
          <w:tcPr>
            <w:tcW w:w="441" w:type="dxa"/>
            <w:vMerge w:val="continue"/>
            <w:tcBorders>
              <w:top w:val="nil"/>
              <w:left w:val="nil"/>
              <w:bottom w:val="nil"/>
              <w:right w:val="nil"/>
            </w:tcBorders>
            <w:vAlign w:val="center"/>
          </w:tcPr>
          <w:p>
            <w:pPr>
              <w:pStyle w:val="Normal"/>
              <w:widowControl w:val="false"/>
              <w:suppressAutoHyphens w:val="true"/>
              <w:spacing w:before="0" w:after="0"/>
              <w:jc w:val="left"/>
              <w:rPr>
                <w:rFonts w:cs="Arial"/>
                <w:color w:val="000000"/>
                <w:sz w:val="21"/>
                <w:szCs w:val="21"/>
              </w:rPr>
            </w:pPr>
            <w:r>
              <w:rPr>
                <w:rFonts w:cs="Arial"/>
                <w:color w:val="000000"/>
                <w:sz w:val="21"/>
                <w:szCs w:val="21"/>
              </w:rPr>
            </w:r>
          </w:p>
        </w:tc>
        <w:tc>
          <w:tcPr>
            <w:tcW w:w="1247" w:type="dxa"/>
            <w:tcBorders>
              <w:left w:val="nil"/>
              <w:bottom w:val="nil"/>
              <w:right w:val="nil"/>
            </w:tcBorders>
          </w:tcPr>
          <w:p>
            <w:pPr>
              <w:pStyle w:val="Normal"/>
              <w:widowControl w:val="false"/>
              <w:tabs>
                <w:tab w:val="clear" w:pos="720"/>
                <w:tab w:val="left" w:pos="1701" w:leader="none"/>
              </w:tabs>
              <w:suppressAutoHyphens w:val="true"/>
              <w:spacing w:lineRule="auto" w:line="276" w:before="0" w:after="0"/>
              <w:jc w:val="both"/>
              <w:rPr>
                <w:rFonts w:cs="Arial"/>
                <w:color w:val="000000"/>
                <w:sz w:val="21"/>
                <w:szCs w:val="21"/>
              </w:rPr>
            </w:pPr>
            <w:r>
              <w:rPr>
                <w:rFonts w:eastAsia="ＭＳ 明朝" w:cs="Arial"/>
                <w:color w:val="000000"/>
                <w:kern w:val="0"/>
                <w:sz w:val="21"/>
                <w:szCs w:val="21"/>
                <w:lang w:val="pt-BR" w:eastAsia="en-US" w:bidi="ar-SA"/>
              </w:rPr>
              <w:t>365</w:t>
            </w:r>
          </w:p>
        </w:tc>
        <w:tc>
          <w:tcPr>
            <w:tcW w:w="4808" w:type="dxa"/>
            <w:vMerge w:val="continue"/>
            <w:tcBorders>
              <w:top w:val="nil"/>
              <w:left w:val="nil"/>
              <w:bottom w:val="nil"/>
              <w:right w:val="nil"/>
            </w:tcBorders>
            <w:vAlign w:val="center"/>
          </w:tcPr>
          <w:p>
            <w:pPr>
              <w:pStyle w:val="Normal"/>
              <w:widowControl w:val="false"/>
              <w:suppressAutoHyphens w:val="true"/>
              <w:spacing w:before="0" w:after="0"/>
              <w:jc w:val="left"/>
              <w:rPr>
                <w:rFonts w:cs="Arial"/>
                <w:color w:val="000000"/>
                <w:sz w:val="21"/>
                <w:szCs w:val="21"/>
              </w:rPr>
            </w:pPr>
            <w:r>
              <w:rPr>
                <w:rFonts w:cs="Arial"/>
                <w:color w:val="000000"/>
                <w:sz w:val="21"/>
                <w:szCs w:val="21"/>
              </w:rPr>
            </w:r>
          </w:p>
        </w:tc>
      </w:tr>
    </w:tbl>
    <w:p>
      <w:pPr>
        <w:pStyle w:val="Nivel1"/>
        <w:numPr>
          <w:ilvl w:val="0"/>
          <w:numId w:val="316"/>
        </w:numPr>
        <w:rPr>
          <w:sz w:val="21"/>
          <w:szCs w:val="21"/>
        </w:rPr>
      </w:pPr>
      <w:r>
        <w:rPr>
          <w:rFonts w:cs="Arial"/>
          <w:color w:val="auto"/>
          <w:sz w:val="21"/>
          <w:szCs w:val="21"/>
        </w:rPr>
        <w:t>REAJUSTE</w:t>
      </w:r>
    </w:p>
    <w:p>
      <w:pPr>
        <w:pStyle w:val="Normal"/>
        <w:numPr>
          <w:ilvl w:val="1"/>
          <w:numId w:val="317"/>
        </w:numPr>
        <w:spacing w:lineRule="auto" w:line="276" w:before="120" w:after="120"/>
        <w:ind w:left="425" w:hanging="0"/>
        <w:jc w:val="both"/>
        <w:rPr>
          <w:sz w:val="21"/>
          <w:szCs w:val="21"/>
        </w:rPr>
      </w:pPr>
      <w:r>
        <w:rPr>
          <w:rFonts w:eastAsia="Times New Roman" w:cs="Arial"/>
          <w:color w:val="000000"/>
          <w:kern w:val="0"/>
          <w:sz w:val="21"/>
          <w:szCs w:val="21"/>
          <w:shd w:fill="auto" w:val="clear"/>
          <w:lang w:val="pt-BR" w:eastAsia="pt-BR" w:bidi="ar-SA"/>
        </w:rPr>
        <w:t>Os preços d</w:t>
      </w:r>
      <w:r>
        <w:rPr>
          <w:rFonts w:eastAsia="Times New Roman" w:cs="Arial"/>
          <w:b w:val="false"/>
          <w:i w:val="false"/>
          <w:caps w:val="false"/>
          <w:smallCaps w:val="false"/>
          <w:color w:val="000000"/>
          <w:spacing w:val="0"/>
          <w:kern w:val="0"/>
          <w:sz w:val="21"/>
          <w:szCs w:val="21"/>
          <w:shd w:fill="auto" w:val="clear"/>
          <w:lang w:val="pt-BR" w:eastAsia="pt-BR" w:bidi="ar-SA"/>
        </w:rPr>
        <w:t>as tarifas dos serviços postais e telegráficos</w:t>
      </w:r>
      <w:r>
        <w:rPr>
          <w:rFonts w:eastAsia="Times New Roman" w:cs="Arial"/>
          <w:color w:val="000000"/>
          <w:kern w:val="0"/>
          <w:sz w:val="21"/>
          <w:szCs w:val="21"/>
          <w:shd w:fill="auto" w:val="clear"/>
          <w:lang w:val="pt-BR" w:eastAsia="pt-BR" w:bidi="ar-SA"/>
        </w:rPr>
        <w:t xml:space="preserve"> contratados são reajustados pela Contratada(Empresa Brasileira de Correios e Telégrafos) utilizando-se de índice oficial de reajuste e autorizado pelo Ministério das Comunicações.</w:t>
      </w:r>
    </w:p>
    <w:p>
      <w:pPr>
        <w:pStyle w:val="Normal"/>
        <w:numPr>
          <w:ilvl w:val="1"/>
          <w:numId w:val="318"/>
        </w:numPr>
        <w:spacing w:lineRule="auto" w:line="276" w:before="120" w:after="120"/>
        <w:ind w:left="425" w:hanging="0"/>
        <w:jc w:val="both"/>
        <w:rPr>
          <w:sz w:val="21"/>
          <w:szCs w:val="21"/>
        </w:rPr>
      </w:pPr>
      <w:r>
        <w:rPr>
          <w:rFonts w:eastAsia="Times New Roman" w:cs="Arial"/>
          <w:color w:val="000000"/>
          <w:kern w:val="0"/>
          <w:sz w:val="21"/>
          <w:szCs w:val="21"/>
          <w:shd w:fill="auto" w:val="clear"/>
          <w:lang w:val="pt-BR" w:eastAsia="pt-BR" w:bidi="ar-SA"/>
        </w:rPr>
        <w:t xml:space="preserve">Pela prestação dos serviços, o IFSertãoPE  pagará à ECT os valores contidos nas tabelas específicas de cada serviço, fornecidas pela ECT, vigentes na data da prestação dos serviços e aquisição de produtos, sendo reajustados nas mesmas datas e segundo os mesmos índices da modificação das mesmas; </w:t>
      </w:r>
    </w:p>
    <w:p>
      <w:pPr>
        <w:pStyle w:val="Normal"/>
        <w:numPr>
          <w:ilvl w:val="1"/>
          <w:numId w:val="319"/>
        </w:numPr>
        <w:spacing w:lineRule="auto" w:line="276" w:before="120" w:after="120"/>
        <w:ind w:left="425" w:hanging="0"/>
        <w:jc w:val="both"/>
        <w:rPr>
          <w:sz w:val="21"/>
          <w:szCs w:val="21"/>
        </w:rPr>
      </w:pPr>
      <w:r>
        <w:rPr>
          <w:rFonts w:eastAsia="Times New Roman" w:cs="Arial"/>
          <w:color w:val="000000"/>
          <w:kern w:val="0"/>
          <w:sz w:val="21"/>
          <w:szCs w:val="21"/>
          <w:shd w:fill="auto" w:val="clear"/>
          <w:lang w:val="pt-BR" w:eastAsia="pt-BR" w:bidi="ar-SA"/>
        </w:rPr>
        <w:t xml:space="preserve">Os valores previstos no subitem 18 terão suas vigências adstritas às Tabelas indicadas no mesmo subitem e serão alterados quando da modificação das mesmas. </w:t>
      </w:r>
    </w:p>
    <w:p>
      <w:pPr>
        <w:pStyle w:val="Normal"/>
        <w:numPr>
          <w:ilvl w:val="1"/>
          <w:numId w:val="320"/>
        </w:numPr>
        <w:spacing w:lineRule="auto" w:line="276" w:before="120" w:after="120"/>
        <w:ind w:left="425" w:hanging="0"/>
        <w:jc w:val="both"/>
        <w:rPr>
          <w:sz w:val="21"/>
          <w:szCs w:val="21"/>
        </w:rPr>
      </w:pPr>
      <w:r>
        <w:rPr>
          <w:rFonts w:eastAsia="Times New Roman" w:cs="Arial"/>
          <w:color w:val="000000"/>
          <w:kern w:val="0"/>
          <w:sz w:val="21"/>
          <w:szCs w:val="21"/>
          <w:shd w:fill="auto" w:val="clear"/>
          <w:lang w:val="pt-BR" w:eastAsia="pt-BR" w:bidi="ar-SA"/>
        </w:rPr>
        <w:t xml:space="preserve">O reajuste das tabelas mencionadas observará a periodicidade legal mínima de 12 (doze) meses, contada a partir da data do início da vigência da Tabela, indicada no seu próprio texto; </w:t>
      </w:r>
    </w:p>
    <w:p>
      <w:pPr>
        <w:pStyle w:val="Normal"/>
        <w:numPr>
          <w:ilvl w:val="1"/>
          <w:numId w:val="321"/>
        </w:numPr>
        <w:spacing w:lineRule="auto" w:line="276" w:before="120" w:after="120"/>
        <w:ind w:left="425" w:hanging="0"/>
        <w:jc w:val="both"/>
        <w:rPr>
          <w:sz w:val="21"/>
          <w:szCs w:val="21"/>
        </w:rPr>
      </w:pPr>
      <w:r>
        <w:rPr>
          <w:rFonts w:eastAsia="Times New Roman" w:cs="Arial"/>
          <w:color w:val="000000"/>
          <w:kern w:val="0"/>
          <w:sz w:val="21"/>
          <w:szCs w:val="21"/>
          <w:shd w:fill="auto" w:val="clear"/>
          <w:lang w:val="pt-BR" w:eastAsia="pt-BR" w:bidi="ar-SA"/>
        </w:rPr>
        <w:t>O prazo estipulado no subitem 18.4 poderá ser reduzido, se o Poder Executivo assim dispuser.</w:t>
      </w:r>
    </w:p>
    <w:p>
      <w:pPr>
        <w:pStyle w:val="Normal"/>
        <w:numPr>
          <w:ilvl w:val="0"/>
          <w:numId w:val="0"/>
        </w:numPr>
        <w:spacing w:lineRule="auto" w:line="276" w:before="120" w:after="120"/>
        <w:ind w:left="425" w:hanging="0"/>
        <w:jc w:val="both"/>
        <w:rPr>
          <w:sz w:val="21"/>
          <w:szCs w:val="21"/>
        </w:rPr>
      </w:pPr>
      <w:r>
        <w:rPr>
          <w:sz w:val="21"/>
          <w:szCs w:val="21"/>
        </w:rPr>
        <w:t xml:space="preserve">18.1.1 A tabela como os preços reajustados deverão ser apresentados pela contratada dentro do prazo estabelecido pela contratante. </w:t>
      </w:r>
    </w:p>
    <w:p>
      <w:pPr>
        <w:pStyle w:val="Nivel1"/>
        <w:numPr>
          <w:ilvl w:val="0"/>
          <w:numId w:val="322"/>
        </w:numPr>
        <w:spacing w:before="366" w:after="0"/>
        <w:rPr>
          <w:sz w:val="21"/>
          <w:szCs w:val="21"/>
        </w:rPr>
      </w:pPr>
      <w:r>
        <w:rPr>
          <w:rFonts w:cs="Arial"/>
          <w:color w:val="auto"/>
          <w:sz w:val="21"/>
          <w:szCs w:val="21"/>
        </w:rPr>
        <w:t>GARANTIA DA EXECUÇÃO</w:t>
      </w:r>
    </w:p>
    <w:p>
      <w:pPr>
        <w:pStyle w:val="Normal"/>
        <w:spacing w:lineRule="auto" w:line="276"/>
        <w:rPr>
          <w:rFonts w:cs="Arial"/>
          <w:i/>
          <w:i/>
          <w:color w:val="FF0000"/>
          <w:sz w:val="21"/>
          <w:szCs w:val="21"/>
        </w:rPr>
      </w:pPr>
      <w:r>
        <w:rPr>
          <w:rFonts w:cs="Arial"/>
          <w:i/>
          <w:color w:val="FF0000"/>
          <w:sz w:val="21"/>
          <w:szCs w:val="21"/>
        </w:rPr>
      </w:r>
    </w:p>
    <w:p>
      <w:pPr>
        <w:pStyle w:val="Normal"/>
        <w:numPr>
          <w:ilvl w:val="1"/>
          <w:numId w:val="323"/>
        </w:numPr>
        <w:spacing w:lineRule="auto" w:line="276" w:before="0" w:after="0"/>
        <w:ind w:left="425" w:hanging="0"/>
        <w:jc w:val="both"/>
        <w:rPr>
          <w:sz w:val="21"/>
          <w:szCs w:val="21"/>
        </w:rPr>
      </w:pPr>
      <w:r>
        <w:rPr>
          <w:rFonts w:eastAsia="Times New Roman" w:cs="Arial"/>
          <w:i w:val="false"/>
          <w:iCs w:val="false"/>
          <w:color w:val="auto"/>
          <w:kern w:val="0"/>
          <w:sz w:val="21"/>
          <w:szCs w:val="21"/>
          <w:lang w:val="pt-BR" w:eastAsia="pt-BR" w:bidi="ar-SA"/>
        </w:rPr>
        <w:t xml:space="preserve">Não haverá exigência de garantia contratual da execução, o, pelas razões abaixo justificadas: </w:t>
      </w:r>
    </w:p>
    <w:p>
      <w:pPr>
        <w:pStyle w:val="Normal"/>
        <w:widowControl/>
        <w:numPr>
          <w:ilvl w:val="0"/>
          <w:numId w:val="0"/>
        </w:numPr>
        <w:suppressAutoHyphens w:val="true"/>
        <w:bidi w:val="0"/>
        <w:spacing w:lineRule="auto" w:line="276" w:before="0" w:after="0"/>
        <w:ind w:left="1417" w:right="0" w:hanging="0"/>
        <w:jc w:val="both"/>
        <w:rPr>
          <w:sz w:val="21"/>
          <w:szCs w:val="21"/>
        </w:rPr>
      </w:pPr>
      <w:r>
        <w:rPr>
          <w:rFonts w:eastAsia="Times New Roman" w:cs="Arial"/>
          <w:i w:val="false"/>
          <w:iCs w:val="false"/>
          <w:color w:val="auto"/>
          <w:kern w:val="0"/>
          <w:sz w:val="21"/>
          <w:szCs w:val="21"/>
          <w:lang w:val="pt-BR" w:eastAsia="pt-BR" w:bidi="ar-SA"/>
        </w:rPr>
        <w:t xml:space="preserve">19.1.1 Trata-se de contratação sem fornecimento de mão de obra em regime de dedicação exclusiva. Portanto, não caberá à Contratante arcar com os pagamentos de encargos de natureza trabalhistas e previdenciários caso estes não sejam quitados pela Contratada. </w:t>
      </w:r>
    </w:p>
    <w:p>
      <w:pPr>
        <w:pStyle w:val="Normal"/>
        <w:widowControl/>
        <w:numPr>
          <w:ilvl w:val="0"/>
          <w:numId w:val="0"/>
        </w:numPr>
        <w:suppressAutoHyphens w:val="true"/>
        <w:bidi w:val="0"/>
        <w:spacing w:lineRule="auto" w:line="276" w:before="0" w:after="0"/>
        <w:ind w:left="1417" w:right="0" w:hanging="0"/>
        <w:jc w:val="both"/>
        <w:rPr>
          <w:rFonts w:ascii="Arial" w:hAnsi="Arial" w:eastAsia="Times New Roman" w:cs="Arial"/>
          <w:i w:val="false"/>
          <w:i w:val="false"/>
          <w:iCs w:val="false"/>
          <w:color w:val="auto"/>
          <w:kern w:val="0"/>
          <w:sz w:val="21"/>
          <w:szCs w:val="21"/>
          <w:lang w:val="pt-BR" w:eastAsia="pt-BR" w:bidi="ar-SA"/>
        </w:rPr>
      </w:pPr>
      <w:r>
        <w:rPr>
          <w:rFonts w:eastAsia="Times New Roman" w:cs="Arial"/>
          <w:i w:val="false"/>
          <w:iCs w:val="false"/>
          <w:color w:val="auto"/>
          <w:kern w:val="0"/>
          <w:sz w:val="21"/>
          <w:szCs w:val="21"/>
          <w:lang w:val="pt-BR" w:eastAsia="pt-BR" w:bidi="ar-SA"/>
        </w:rPr>
      </w:r>
    </w:p>
    <w:p>
      <w:pPr>
        <w:pStyle w:val="Normal"/>
        <w:widowControl/>
        <w:numPr>
          <w:ilvl w:val="0"/>
          <w:numId w:val="0"/>
        </w:numPr>
        <w:suppressAutoHyphens w:val="true"/>
        <w:bidi w:val="0"/>
        <w:spacing w:lineRule="auto" w:line="276" w:before="0" w:after="0"/>
        <w:ind w:left="1417" w:right="0" w:hanging="0"/>
        <w:jc w:val="both"/>
        <w:rPr>
          <w:sz w:val="21"/>
          <w:szCs w:val="21"/>
        </w:rPr>
      </w:pPr>
      <w:r>
        <w:rPr>
          <w:rFonts w:eastAsia="Times New Roman" w:cs="Arial"/>
          <w:i w:val="false"/>
          <w:iCs w:val="false"/>
          <w:color w:val="auto"/>
          <w:kern w:val="0"/>
          <w:sz w:val="21"/>
          <w:szCs w:val="21"/>
          <w:lang w:val="pt-BR" w:eastAsia="pt-BR" w:bidi="ar-SA"/>
        </w:rPr>
        <w:t>19.1.2.</w:t>
      </w:r>
      <w:r>
        <w:rPr>
          <w:rFonts w:eastAsia="Times New Roman" w:cs="Arial"/>
          <w:b/>
          <w:bCs/>
          <w:i w:val="false"/>
          <w:iCs w:val="false"/>
          <w:color w:val="auto"/>
          <w:kern w:val="0"/>
          <w:sz w:val="21"/>
          <w:szCs w:val="21"/>
          <w:lang w:val="pt-BR" w:eastAsia="pt-BR" w:bidi="ar-SA"/>
        </w:rPr>
        <w:t xml:space="preserve"> A contratação se dará por meio de Inexigibilidade de Licitação fundamentada no art. 25, caput, da Lei n° 8.666/93.</w:t>
      </w:r>
      <w:r>
        <w:rPr>
          <w:rFonts w:eastAsia="Times New Roman" w:cs="Arial"/>
          <w:i w:val="false"/>
          <w:iCs w:val="false"/>
          <w:color w:val="auto"/>
          <w:kern w:val="0"/>
          <w:sz w:val="21"/>
          <w:szCs w:val="21"/>
          <w:lang w:val="pt-BR" w:eastAsia="pt-BR" w:bidi="ar-SA"/>
        </w:rPr>
        <w:t xml:space="preserve"> </w:t>
      </w:r>
    </w:p>
    <w:p>
      <w:pPr>
        <w:pStyle w:val="Nivel1"/>
        <w:numPr>
          <w:ilvl w:val="0"/>
          <w:numId w:val="324"/>
        </w:numPr>
        <w:rPr>
          <w:sz w:val="21"/>
          <w:szCs w:val="21"/>
        </w:rPr>
      </w:pPr>
      <w:r>
        <w:rPr>
          <w:rFonts w:cs="Arial"/>
          <w:sz w:val="21"/>
          <w:szCs w:val="21"/>
        </w:rPr>
        <w:t xml:space="preserve">DO INADIMPLEMENTO </w:t>
      </w:r>
    </w:p>
    <w:p>
      <w:pPr>
        <w:pStyle w:val="Nivel1"/>
        <w:numPr>
          <w:ilvl w:val="0"/>
          <w:numId w:val="0"/>
        </w:numPr>
        <w:ind w:left="644" w:hanging="0"/>
        <w:rPr>
          <w:sz w:val="21"/>
          <w:szCs w:val="21"/>
        </w:rPr>
      </w:pPr>
      <w:r>
        <w:rPr>
          <w:rFonts w:cs="Arial"/>
          <w:b w:val="false"/>
          <w:bCs w:val="false"/>
          <w:sz w:val="21"/>
          <w:szCs w:val="21"/>
        </w:rPr>
        <w:t xml:space="preserve">20.1 Conforme consta do Contrato padronizado pelos Correios, em caso de inadimplemento contratual pelas partes: </w:t>
      </w:r>
    </w:p>
    <w:p>
      <w:pPr>
        <w:pStyle w:val="Nivel1"/>
        <w:numPr>
          <w:ilvl w:val="0"/>
          <w:numId w:val="0"/>
        </w:numPr>
        <w:spacing w:before="138" w:after="0"/>
        <w:ind w:left="644" w:hanging="0"/>
        <w:rPr>
          <w:sz w:val="21"/>
          <w:szCs w:val="21"/>
        </w:rPr>
      </w:pPr>
      <w:r>
        <w:rPr>
          <w:rFonts w:cs="Arial"/>
          <w:b w:val="false"/>
          <w:bCs w:val="false"/>
          <w:sz w:val="21"/>
          <w:szCs w:val="21"/>
        </w:rPr>
        <w:t xml:space="preserve">20.1.1. O inadimplemento das obrigações previstas no Contrato será comunicado pela parte prejudicada à outra, mediante notificação escrita, com prova de recebimento, para que a parte inadimplente, no prazo de 05 (cinco) dias úteis, regularize a situação ou apresente defesa. </w:t>
      </w:r>
    </w:p>
    <w:p>
      <w:pPr>
        <w:pStyle w:val="Nivel1"/>
        <w:keepNext w:val="true"/>
        <w:keepLines/>
        <w:widowControl/>
        <w:numPr>
          <w:ilvl w:val="0"/>
          <w:numId w:val="0"/>
        </w:numPr>
        <w:suppressAutoHyphens w:val="true"/>
        <w:bidi w:val="0"/>
        <w:spacing w:lineRule="auto" w:line="276" w:before="138" w:after="0"/>
        <w:ind w:left="1531" w:right="0" w:hanging="0"/>
        <w:jc w:val="both"/>
        <w:rPr>
          <w:sz w:val="21"/>
          <w:szCs w:val="21"/>
        </w:rPr>
      </w:pPr>
      <w:r>
        <w:rPr>
          <w:rFonts w:cs="Arial"/>
          <w:b w:val="false"/>
          <w:bCs w:val="false"/>
          <w:sz w:val="21"/>
          <w:szCs w:val="21"/>
        </w:rPr>
        <w:t>20.1.1.1. Se for apresentada defesa, a parte prejudicada deverá se manifestar sobre esta no mesmo prazo.</w:t>
      </w:r>
    </w:p>
    <w:p>
      <w:pPr>
        <w:pStyle w:val="Nivel1"/>
        <w:keepNext w:val="true"/>
        <w:keepLines/>
        <w:widowControl/>
        <w:numPr>
          <w:ilvl w:val="0"/>
          <w:numId w:val="0"/>
        </w:numPr>
        <w:suppressAutoHyphens w:val="true"/>
        <w:bidi w:val="0"/>
        <w:spacing w:lineRule="auto" w:line="276" w:before="138" w:after="0"/>
        <w:ind w:left="1531" w:right="0" w:hanging="0"/>
        <w:jc w:val="both"/>
        <w:rPr>
          <w:sz w:val="21"/>
          <w:szCs w:val="21"/>
        </w:rPr>
      </w:pPr>
      <w:r>
        <w:rPr>
          <w:rFonts w:cs="Arial"/>
          <w:b w:val="false"/>
          <w:bCs w:val="false"/>
          <w:sz w:val="21"/>
          <w:szCs w:val="21"/>
        </w:rPr>
        <w:t xml:space="preserve">20.1.1.2. Quando a decisão motivada não acolher as razões da defesa, a parte inadimplente deverá regularizar a situação no prazo de 48 (quarenta e oito) horas, contadas a partir da comunicação formal desse fato. </w:t>
      </w:r>
    </w:p>
    <w:p>
      <w:pPr>
        <w:pStyle w:val="Nivel1"/>
        <w:keepNext w:val="true"/>
        <w:keepLines/>
        <w:widowControl/>
        <w:numPr>
          <w:ilvl w:val="0"/>
          <w:numId w:val="0"/>
        </w:numPr>
        <w:suppressAutoHyphens w:val="true"/>
        <w:bidi w:val="0"/>
        <w:spacing w:lineRule="auto" w:line="276" w:before="138" w:after="0"/>
        <w:ind w:left="1531" w:right="0" w:hanging="0"/>
        <w:jc w:val="both"/>
        <w:rPr>
          <w:sz w:val="21"/>
          <w:szCs w:val="21"/>
        </w:rPr>
      </w:pPr>
      <w:r>
        <w:rPr>
          <w:rFonts w:cs="Arial"/>
          <w:b w:val="false"/>
          <w:bCs w:val="false"/>
          <w:sz w:val="21"/>
          <w:szCs w:val="21"/>
        </w:rPr>
        <w:t xml:space="preserve">20.1.1.3. O descumprimento do subitem anterior poderá ensejar a rescisão do Contrato, a critério da parte prejudicada, sem prejuízo de eventual indenização por perdas e danos, além das demais sanções contratuais e legais aplicáveis. </w:t>
      </w:r>
    </w:p>
    <w:p>
      <w:pPr>
        <w:pStyle w:val="Nivel1"/>
        <w:keepNext w:val="true"/>
        <w:keepLines/>
        <w:widowControl/>
        <w:numPr>
          <w:ilvl w:val="0"/>
          <w:numId w:val="0"/>
        </w:numPr>
        <w:suppressAutoHyphens w:val="true"/>
        <w:bidi w:val="0"/>
        <w:spacing w:lineRule="auto" w:line="276" w:before="138" w:after="0"/>
        <w:ind w:left="1531" w:right="0" w:hanging="0"/>
        <w:jc w:val="both"/>
        <w:rPr>
          <w:sz w:val="21"/>
          <w:szCs w:val="21"/>
        </w:rPr>
      </w:pPr>
      <w:r>
        <w:rPr>
          <w:rFonts w:cs="Arial"/>
          <w:b w:val="false"/>
          <w:bCs w:val="false"/>
          <w:sz w:val="21"/>
          <w:szCs w:val="21"/>
        </w:rPr>
        <w:t>20.1.1.4. A não-quitação da fatura até a data de vencimento poderá ensejar a suspensão da prestação dos serviços.</w:t>
      </w:r>
    </w:p>
    <w:p>
      <w:pPr>
        <w:pStyle w:val="Nivel1"/>
        <w:keepNext w:val="true"/>
        <w:keepLines/>
        <w:widowControl/>
        <w:numPr>
          <w:ilvl w:val="0"/>
          <w:numId w:val="0"/>
        </w:numPr>
        <w:suppressAutoHyphens w:val="true"/>
        <w:bidi w:val="0"/>
        <w:spacing w:lineRule="auto" w:line="276" w:before="138" w:after="0"/>
        <w:ind w:left="2268" w:right="0" w:hanging="0"/>
        <w:jc w:val="both"/>
        <w:rPr>
          <w:sz w:val="21"/>
          <w:szCs w:val="21"/>
        </w:rPr>
      </w:pPr>
      <w:r>
        <w:rPr>
          <w:rFonts w:cs="Arial"/>
          <w:b w:val="false"/>
          <w:bCs w:val="false"/>
          <w:sz w:val="21"/>
          <w:szCs w:val="21"/>
        </w:rPr>
        <w:t>a) Ocorrendo atraso de pagamento, o valor devido será atualizado financeiramente, entre a data do vencimento e a data da efetiva compensação do crédito aos Correios, de acordo com a variação da taxa referencial do Sistema de Liquidação e Custódia – SELIC Meta, acrescido de multa de 2% (dois por cento) e demais cominações legais, independentemente de notificação. Neste caso, os encargos decorrentes do atraso de pagamento serão cobrados em ciclos posteriores.</w:t>
      </w:r>
    </w:p>
    <w:p>
      <w:pPr>
        <w:pStyle w:val="Nivel1"/>
        <w:widowControl/>
        <w:numPr>
          <w:ilvl w:val="0"/>
          <w:numId w:val="0"/>
        </w:numPr>
        <w:suppressAutoHyphens w:val="true"/>
        <w:bidi w:val="0"/>
        <w:spacing w:lineRule="auto" w:line="276" w:before="0" w:after="0"/>
        <w:ind w:left="2268" w:right="0" w:hanging="0"/>
        <w:jc w:val="both"/>
        <w:rPr>
          <w:sz w:val="21"/>
          <w:szCs w:val="21"/>
        </w:rPr>
      </w:pPr>
      <w:r>
        <w:rPr>
          <w:rFonts w:cs="Arial"/>
          <w:b w:val="false"/>
          <w:bCs w:val="false"/>
          <w:sz w:val="21"/>
          <w:szCs w:val="21"/>
        </w:rPr>
        <w:t xml:space="preserve">b) Se permanecer inadimplente, a Contratante terá seu CNPJ inscrito no Cadastro Informativo de Créditos não Quitados do Setor Público Federal – CADIN, pelos Correios, em obediência ao disposto na Lei 10.522 de 19 de julho de 2002. </w:t>
      </w:r>
    </w:p>
    <w:p>
      <w:pPr>
        <w:pStyle w:val="Nivel1"/>
        <w:keepNext w:val="true"/>
        <w:keepLines/>
        <w:widowControl/>
        <w:numPr>
          <w:ilvl w:val="0"/>
          <w:numId w:val="0"/>
        </w:numPr>
        <w:suppressAutoHyphens w:val="true"/>
        <w:bidi w:val="0"/>
        <w:spacing w:lineRule="auto" w:line="276" w:before="252" w:after="114"/>
        <w:ind w:left="680" w:right="0" w:hanging="0"/>
        <w:jc w:val="both"/>
        <w:rPr>
          <w:sz w:val="21"/>
          <w:szCs w:val="21"/>
        </w:rPr>
      </w:pPr>
      <w:r>
        <w:rPr>
          <w:rFonts w:cs="Arial"/>
          <w:b w:val="false"/>
          <w:bCs w:val="false"/>
          <w:sz w:val="21"/>
          <w:szCs w:val="21"/>
        </w:rPr>
        <w:t>20.1.2 Será de responsabilidade da Contratante as custas e as despesas cartoriais, caso haja necessidade dos Correios recorrerem ao mecanismo de “PROTESTO DE TÍTULO”, para reaver os seus valores devidos, por atraso no pagamento de faturas, podendo ser pagas diretamente nos cartórios ou ressarcidas aos Correios se o pagamento das custas ocorrer de forma antecipada.</w:t>
      </w:r>
    </w:p>
    <w:p>
      <w:pPr>
        <w:pStyle w:val="Nivel1"/>
        <w:widowControl/>
        <w:numPr>
          <w:ilvl w:val="0"/>
          <w:numId w:val="0"/>
        </w:numPr>
        <w:suppressAutoHyphens w:val="true"/>
        <w:bidi w:val="0"/>
        <w:spacing w:lineRule="auto" w:line="276" w:before="81" w:after="0"/>
        <w:ind w:left="680" w:right="0" w:hanging="0"/>
        <w:jc w:val="both"/>
        <w:rPr>
          <w:sz w:val="21"/>
          <w:szCs w:val="21"/>
        </w:rPr>
      </w:pPr>
      <w:r>
        <w:rPr>
          <w:sz w:val="21"/>
          <w:szCs w:val="21"/>
        </w:rPr>
      </w:r>
    </w:p>
    <w:p>
      <w:pPr>
        <w:pStyle w:val="Nivel1"/>
        <w:keepNext w:val="true"/>
        <w:keepLines/>
        <w:widowControl/>
        <w:numPr>
          <w:ilvl w:val="0"/>
          <w:numId w:val="325"/>
        </w:numPr>
        <w:suppressAutoHyphens w:val="true"/>
        <w:bidi w:val="0"/>
        <w:spacing w:lineRule="auto" w:line="276" w:before="24" w:after="0"/>
        <w:ind w:left="340" w:right="0" w:hanging="170"/>
        <w:jc w:val="both"/>
        <w:rPr>
          <w:sz w:val="21"/>
          <w:szCs w:val="21"/>
        </w:rPr>
      </w:pPr>
      <w:r>
        <w:rPr>
          <w:rFonts w:cs="Arial"/>
          <w:b/>
          <w:bCs/>
          <w:sz w:val="21"/>
          <w:szCs w:val="21"/>
        </w:rPr>
        <w:t xml:space="preserve"> </w:t>
      </w:r>
      <w:r>
        <w:rPr>
          <w:rFonts w:cs="Arial"/>
          <w:b/>
          <w:bCs/>
          <w:sz w:val="21"/>
          <w:szCs w:val="21"/>
        </w:rPr>
        <w:t>DA RESCISÃO</w:t>
      </w:r>
      <w:r>
        <w:rPr>
          <w:rFonts w:cs="Arial"/>
          <w:b w:val="false"/>
          <w:bCs w:val="false"/>
          <w:sz w:val="21"/>
          <w:szCs w:val="21"/>
        </w:rPr>
        <w:t xml:space="preserve"> </w:t>
      </w:r>
    </w:p>
    <w:p>
      <w:pPr>
        <w:pStyle w:val="Nivel1"/>
        <w:widowControl/>
        <w:numPr>
          <w:ilvl w:val="0"/>
          <w:numId w:val="0"/>
        </w:numPr>
        <w:suppressAutoHyphens w:val="true"/>
        <w:bidi w:val="0"/>
        <w:spacing w:lineRule="auto" w:line="276" w:before="0" w:after="0"/>
        <w:ind w:left="340" w:right="0" w:hanging="0"/>
        <w:jc w:val="both"/>
        <w:rPr>
          <w:sz w:val="21"/>
          <w:szCs w:val="21"/>
        </w:rPr>
      </w:pPr>
      <w:r>
        <w:rPr>
          <w:rFonts w:cs="Arial"/>
          <w:b w:val="false"/>
          <w:bCs w:val="false"/>
          <w:sz w:val="21"/>
          <w:szCs w:val="21"/>
        </w:rPr>
        <w:t>21.1 Conforme consta do Contrato padronizado pelos Correios, o Contrato poderá ser rescindido a qualquer tempo:</w:t>
      </w:r>
    </w:p>
    <w:p>
      <w:pPr>
        <w:pStyle w:val="Nivel1"/>
        <w:keepNext w:val="true"/>
        <w:keepLines/>
        <w:widowControl/>
        <w:numPr>
          <w:ilvl w:val="0"/>
          <w:numId w:val="0"/>
        </w:numPr>
        <w:tabs>
          <w:tab w:val="clear" w:pos="720"/>
          <w:tab w:val="left" w:pos="1245" w:leader="none"/>
          <w:tab w:val="left" w:pos="1365" w:leader="none"/>
        </w:tabs>
        <w:suppressAutoHyphens w:val="true"/>
        <w:bidi w:val="0"/>
        <w:spacing w:lineRule="auto" w:line="276" w:before="138" w:after="0"/>
        <w:ind w:left="1077" w:right="0" w:hanging="0"/>
        <w:jc w:val="both"/>
        <w:rPr>
          <w:sz w:val="21"/>
          <w:szCs w:val="21"/>
        </w:rPr>
      </w:pPr>
      <w:r>
        <w:rPr>
          <w:rFonts w:cs="Arial"/>
          <w:b w:val="false"/>
          <w:bCs w:val="false"/>
          <w:sz w:val="21"/>
          <w:szCs w:val="21"/>
        </w:rPr>
        <w:t xml:space="preserve">21.1.1. Por interesse de qualquer uma das partes e mediante comunicação formal, com prova de recebimento e aviso prévio mínimo de 30 (trinta) dias. </w:t>
      </w:r>
    </w:p>
    <w:p>
      <w:pPr>
        <w:pStyle w:val="Nivel1"/>
        <w:keepNext w:val="true"/>
        <w:keepLines/>
        <w:widowControl/>
        <w:numPr>
          <w:ilvl w:val="0"/>
          <w:numId w:val="0"/>
        </w:numPr>
        <w:tabs>
          <w:tab w:val="clear" w:pos="720"/>
          <w:tab w:val="left" w:pos="1245" w:leader="none"/>
          <w:tab w:val="left" w:pos="1365" w:leader="none"/>
        </w:tabs>
        <w:suppressAutoHyphens w:val="true"/>
        <w:bidi w:val="0"/>
        <w:spacing w:lineRule="auto" w:line="276" w:before="138" w:after="0"/>
        <w:ind w:left="1077" w:right="0" w:hanging="0"/>
        <w:jc w:val="both"/>
        <w:rPr>
          <w:sz w:val="21"/>
          <w:szCs w:val="21"/>
        </w:rPr>
      </w:pPr>
      <w:r>
        <w:rPr>
          <w:rFonts w:cs="Arial"/>
          <w:b w:val="false"/>
          <w:bCs w:val="false"/>
          <w:sz w:val="21"/>
          <w:szCs w:val="21"/>
        </w:rPr>
        <w:t xml:space="preserve">21.1.1.1. Quando a solicitação de rescisão ocorrer concomitantemente à formalização de Contrato sucedâneo, com valor mínimo igual ou superior, a rescisão poderá ocorrer na data da formalização do pedido, independente do aviso prévio a que se refere o subitem anterior. </w:t>
      </w:r>
    </w:p>
    <w:p>
      <w:pPr>
        <w:pStyle w:val="Nivel1"/>
        <w:keepNext w:val="true"/>
        <w:keepLines/>
        <w:widowControl/>
        <w:numPr>
          <w:ilvl w:val="0"/>
          <w:numId w:val="0"/>
        </w:numPr>
        <w:tabs>
          <w:tab w:val="clear" w:pos="720"/>
          <w:tab w:val="left" w:pos="1245" w:leader="none"/>
          <w:tab w:val="left" w:pos="1365" w:leader="none"/>
        </w:tabs>
        <w:suppressAutoHyphens w:val="true"/>
        <w:bidi w:val="0"/>
        <w:spacing w:lineRule="auto" w:line="276" w:before="138" w:after="0"/>
        <w:ind w:left="1020" w:right="0" w:hanging="0"/>
        <w:jc w:val="both"/>
        <w:rPr>
          <w:sz w:val="21"/>
          <w:szCs w:val="21"/>
        </w:rPr>
      </w:pPr>
      <w:r>
        <w:rPr>
          <w:rFonts w:cs="Arial"/>
          <w:b w:val="false"/>
          <w:bCs w:val="false"/>
          <w:sz w:val="21"/>
          <w:szCs w:val="21"/>
        </w:rPr>
        <w:t xml:space="preserve">21.1.2. Automaticamente pelos Correios, sem aviso prévio, quando da não utilização de serviços ou aquisição de produtos pelo período igual ou superior a 6 (seis) meses consecutivos. </w:t>
      </w:r>
    </w:p>
    <w:p>
      <w:pPr>
        <w:pStyle w:val="Nivel1"/>
        <w:keepNext w:val="true"/>
        <w:keepLines/>
        <w:widowControl/>
        <w:numPr>
          <w:ilvl w:val="0"/>
          <w:numId w:val="0"/>
        </w:numPr>
        <w:tabs>
          <w:tab w:val="clear" w:pos="720"/>
          <w:tab w:val="left" w:pos="1245" w:leader="none"/>
          <w:tab w:val="left" w:pos="1365" w:leader="none"/>
        </w:tabs>
        <w:suppressAutoHyphens w:val="true"/>
        <w:bidi w:val="0"/>
        <w:spacing w:lineRule="auto" w:line="276" w:before="138" w:after="0"/>
        <w:ind w:left="1020" w:right="0" w:hanging="0"/>
        <w:jc w:val="both"/>
        <w:rPr>
          <w:sz w:val="21"/>
          <w:szCs w:val="21"/>
        </w:rPr>
      </w:pPr>
      <w:r>
        <w:rPr>
          <w:rFonts w:cs="Arial"/>
          <w:b w:val="false"/>
          <w:bCs w:val="false"/>
          <w:sz w:val="21"/>
          <w:szCs w:val="21"/>
        </w:rPr>
        <w:t xml:space="preserve">21.1.3. Por inadimplemento, conforme consta no item 20. </w:t>
      </w:r>
    </w:p>
    <w:p>
      <w:pPr>
        <w:pStyle w:val="Nivel1"/>
        <w:keepNext w:val="true"/>
        <w:keepLines/>
        <w:widowControl/>
        <w:numPr>
          <w:ilvl w:val="0"/>
          <w:numId w:val="0"/>
        </w:numPr>
        <w:tabs>
          <w:tab w:val="clear" w:pos="720"/>
          <w:tab w:val="left" w:pos="1245" w:leader="none"/>
          <w:tab w:val="left" w:pos="1365" w:leader="none"/>
        </w:tabs>
        <w:suppressAutoHyphens w:val="true"/>
        <w:bidi w:val="0"/>
        <w:spacing w:lineRule="auto" w:line="276" w:before="138" w:after="0"/>
        <w:ind w:left="964" w:right="0" w:hanging="0"/>
        <w:jc w:val="both"/>
        <w:rPr>
          <w:sz w:val="21"/>
          <w:szCs w:val="21"/>
        </w:rPr>
      </w:pPr>
      <w:r>
        <w:rPr>
          <w:rFonts w:cs="Arial"/>
          <w:b w:val="false"/>
          <w:bCs w:val="false"/>
          <w:sz w:val="21"/>
          <w:szCs w:val="21"/>
        </w:rPr>
        <w:t xml:space="preserve">21.1.4. Na hipótese de ocorrer qualquer das situações e formas previstas no bojo dos argos 78 e 79 da Lei 8.666/93, obedecido ao disposto no subitem 20.1.1. </w:t>
      </w:r>
    </w:p>
    <w:p>
      <w:pPr>
        <w:pStyle w:val="Nivel1"/>
        <w:keepNext w:val="true"/>
        <w:keepLines/>
        <w:widowControl/>
        <w:numPr>
          <w:ilvl w:val="0"/>
          <w:numId w:val="0"/>
        </w:numPr>
        <w:suppressAutoHyphens w:val="true"/>
        <w:bidi w:val="0"/>
        <w:spacing w:lineRule="auto" w:line="276" w:before="138" w:after="0"/>
        <w:ind w:left="170" w:right="0" w:hanging="0"/>
        <w:jc w:val="both"/>
        <w:rPr>
          <w:sz w:val="21"/>
          <w:szCs w:val="21"/>
        </w:rPr>
      </w:pPr>
      <w:r>
        <w:rPr>
          <w:rFonts w:cs="Arial"/>
          <w:b w:val="false"/>
          <w:bCs w:val="false"/>
          <w:sz w:val="21"/>
          <w:szCs w:val="21"/>
        </w:rPr>
        <w:t xml:space="preserve">21.2. Quando ocorrer interesse público, as partes poderão rescindir unilateralmente o Contrato, nos casos especificados no inciso I do art. 79 da Lei 8.666/93, nos termos do art. 58, II, combinado com parágrafo 3º do argo 62, do mesmo Estatuto Licitatório. </w:t>
      </w:r>
    </w:p>
    <w:p>
      <w:pPr>
        <w:pStyle w:val="Nivel1"/>
        <w:keepNext w:val="true"/>
        <w:keepLines/>
        <w:widowControl/>
        <w:numPr>
          <w:ilvl w:val="0"/>
          <w:numId w:val="0"/>
        </w:numPr>
        <w:suppressAutoHyphens w:val="true"/>
        <w:bidi w:val="0"/>
        <w:spacing w:lineRule="auto" w:line="276" w:before="138" w:after="0"/>
        <w:ind w:left="227" w:right="0" w:hanging="0"/>
        <w:jc w:val="both"/>
        <w:rPr>
          <w:sz w:val="21"/>
          <w:szCs w:val="21"/>
        </w:rPr>
      </w:pPr>
      <w:r>
        <w:rPr>
          <w:rFonts w:cs="Arial"/>
          <w:b w:val="false"/>
          <w:bCs w:val="false"/>
          <w:sz w:val="21"/>
          <w:szCs w:val="21"/>
        </w:rPr>
        <w:t xml:space="preserve">21.3. No caso de rescisão, fica assegurado aos Correios o direito de recebimento dos valores correspondentes aos serviços prestados à Contratante e produtos adquiridos pela mesma até a data da rescisão, bem como à proporcionalidade dos valores mínimos contratados, de acordo com as condições de pagamento estabelecidas no Contrato. </w:t>
      </w:r>
    </w:p>
    <w:p>
      <w:pPr>
        <w:pStyle w:val="Nivel1"/>
        <w:keepNext w:val="true"/>
        <w:keepLines/>
        <w:widowControl/>
        <w:numPr>
          <w:ilvl w:val="0"/>
          <w:numId w:val="0"/>
        </w:numPr>
        <w:suppressAutoHyphens w:val="true"/>
        <w:bidi w:val="0"/>
        <w:spacing w:lineRule="auto" w:line="276" w:before="138" w:after="0"/>
        <w:ind w:left="227" w:right="0" w:hanging="0"/>
        <w:jc w:val="both"/>
        <w:rPr>
          <w:sz w:val="21"/>
          <w:szCs w:val="21"/>
        </w:rPr>
      </w:pPr>
      <w:r>
        <w:rPr>
          <w:rFonts w:cs="Arial"/>
          <w:b w:val="false"/>
          <w:bCs w:val="false"/>
          <w:sz w:val="21"/>
          <w:szCs w:val="21"/>
        </w:rPr>
        <w:t xml:space="preserve">21.4. Da mesma forma fica garantida à Contratante a devolução de seus objetos e valores devidos. </w:t>
      </w:r>
    </w:p>
    <w:p>
      <w:pPr>
        <w:pStyle w:val="Nivel1"/>
        <w:numPr>
          <w:ilvl w:val="0"/>
          <w:numId w:val="4"/>
        </w:numPr>
        <w:spacing w:before="366" w:after="0"/>
        <w:rPr>
          <w:sz w:val="21"/>
          <w:szCs w:val="21"/>
        </w:rPr>
      </w:pPr>
      <w:r>
        <w:rPr>
          <w:rFonts w:cs="Arial"/>
          <w:bCs/>
          <w:sz w:val="21"/>
          <w:szCs w:val="21"/>
        </w:rPr>
        <w:t>ESTIMATIVA DE PREÇOS E PREÇOS REFERENCIAIS</w:t>
      </w:r>
    </w:p>
    <w:p>
      <w:pPr>
        <w:pStyle w:val="ListParagraph"/>
        <w:numPr>
          <w:ilvl w:val="0"/>
          <w:numId w:val="3"/>
        </w:numPr>
        <w:spacing w:lineRule="auto" w:line="276" w:before="120" w:after="120"/>
        <w:ind w:left="360" w:right="-30" w:hanging="360"/>
        <w:contextualSpacing w:val="false"/>
        <w:jc w:val="both"/>
        <w:rPr>
          <w:i/>
          <w:i/>
          <w:vanish/>
          <w:color w:val="FF0000"/>
          <w:sz w:val="21"/>
          <w:szCs w:val="21"/>
        </w:rPr>
      </w:pPr>
      <w:r>
        <w:rPr>
          <w:i/>
          <w:vanish/>
          <w:color w:val="FF0000"/>
          <w:sz w:val="21"/>
          <w:szCs w:val="21"/>
        </w:rPr>
      </w:r>
    </w:p>
    <w:p>
      <w:pPr>
        <w:pStyle w:val="ListParagraph"/>
        <w:numPr>
          <w:ilvl w:val="0"/>
          <w:numId w:val="3"/>
        </w:numPr>
        <w:spacing w:lineRule="auto" w:line="276" w:before="120" w:after="120"/>
        <w:ind w:left="360" w:right="-30" w:hanging="360"/>
        <w:contextualSpacing w:val="false"/>
        <w:jc w:val="both"/>
        <w:rPr>
          <w:i/>
          <w:i/>
          <w:vanish/>
          <w:color w:val="FF0000"/>
          <w:sz w:val="21"/>
          <w:szCs w:val="21"/>
        </w:rPr>
      </w:pPr>
      <w:r>
        <w:rPr>
          <w:i/>
          <w:vanish/>
          <w:color w:val="FF0000"/>
          <w:sz w:val="21"/>
          <w:szCs w:val="21"/>
        </w:rPr>
      </w:r>
    </w:p>
    <w:p>
      <w:pPr>
        <w:pStyle w:val="ListParagraph"/>
        <w:numPr>
          <w:ilvl w:val="0"/>
          <w:numId w:val="3"/>
        </w:numPr>
        <w:spacing w:lineRule="auto" w:line="276" w:before="120" w:after="120"/>
        <w:ind w:left="360" w:right="-30" w:hanging="360"/>
        <w:contextualSpacing w:val="false"/>
        <w:jc w:val="both"/>
        <w:rPr>
          <w:i/>
          <w:i/>
          <w:vanish/>
          <w:color w:val="FF0000"/>
          <w:sz w:val="21"/>
          <w:szCs w:val="21"/>
        </w:rPr>
      </w:pPr>
      <w:r>
        <w:rPr>
          <w:i/>
          <w:vanish/>
          <w:color w:val="FF0000"/>
          <w:sz w:val="21"/>
          <w:szCs w:val="21"/>
        </w:rPr>
      </w:r>
    </w:p>
    <w:p>
      <w:pPr>
        <w:pStyle w:val="ListParagraph"/>
        <w:numPr>
          <w:ilvl w:val="0"/>
          <w:numId w:val="3"/>
        </w:numPr>
        <w:spacing w:lineRule="auto" w:line="276" w:before="120" w:after="120"/>
        <w:ind w:left="360" w:right="-30" w:hanging="360"/>
        <w:contextualSpacing w:val="false"/>
        <w:jc w:val="both"/>
        <w:rPr>
          <w:i/>
          <w:i/>
          <w:vanish/>
          <w:color w:val="FF0000"/>
          <w:sz w:val="21"/>
          <w:szCs w:val="21"/>
        </w:rPr>
      </w:pPr>
      <w:r>
        <w:rPr>
          <w:i/>
          <w:vanish/>
          <w:color w:val="FF0000"/>
          <w:sz w:val="21"/>
          <w:szCs w:val="21"/>
        </w:rPr>
      </w:r>
    </w:p>
    <w:p>
      <w:pPr>
        <w:pStyle w:val="ListParagraph"/>
        <w:numPr>
          <w:ilvl w:val="0"/>
          <w:numId w:val="3"/>
        </w:numPr>
        <w:spacing w:lineRule="auto" w:line="276" w:before="120" w:after="120"/>
        <w:ind w:left="360" w:right="-30" w:hanging="360"/>
        <w:contextualSpacing w:val="false"/>
        <w:jc w:val="both"/>
        <w:rPr>
          <w:i/>
          <w:i/>
          <w:vanish/>
          <w:color w:val="FF0000"/>
          <w:sz w:val="21"/>
          <w:szCs w:val="21"/>
        </w:rPr>
      </w:pPr>
      <w:r>
        <w:rPr>
          <w:i/>
          <w:vanish/>
          <w:color w:val="FF0000"/>
          <w:sz w:val="21"/>
          <w:szCs w:val="21"/>
        </w:rPr>
      </w:r>
    </w:p>
    <w:p>
      <w:pPr>
        <w:pStyle w:val="ListParagraph"/>
        <w:numPr>
          <w:ilvl w:val="0"/>
          <w:numId w:val="3"/>
        </w:numPr>
        <w:spacing w:lineRule="auto" w:line="276" w:before="120" w:after="120"/>
        <w:ind w:left="360" w:right="-30" w:hanging="360"/>
        <w:contextualSpacing w:val="false"/>
        <w:jc w:val="both"/>
        <w:rPr>
          <w:i/>
          <w:i/>
          <w:vanish/>
          <w:color w:val="FF0000"/>
          <w:sz w:val="21"/>
          <w:szCs w:val="21"/>
        </w:rPr>
      </w:pPr>
      <w:r>
        <w:rPr>
          <w:i/>
          <w:vanish/>
          <w:color w:val="FF0000"/>
          <w:sz w:val="21"/>
          <w:szCs w:val="21"/>
        </w:rPr>
      </w:r>
    </w:p>
    <w:p>
      <w:pPr>
        <w:pStyle w:val="Normal"/>
        <w:numPr>
          <w:ilvl w:val="1"/>
          <w:numId w:val="326"/>
        </w:numPr>
        <w:spacing w:lineRule="auto" w:line="276" w:before="120" w:after="120"/>
        <w:jc w:val="both"/>
        <w:rPr>
          <w:sz w:val="21"/>
          <w:szCs w:val="21"/>
        </w:rPr>
      </w:pPr>
      <w:r>
        <w:rPr>
          <w:i w:val="false"/>
          <w:iCs w:val="false"/>
          <w:color w:val="000000"/>
          <w:sz w:val="21"/>
          <w:szCs w:val="21"/>
        </w:rPr>
        <w:t xml:space="preserve">O custo estimado da </w:t>
      </w:r>
      <w:r>
        <w:rPr>
          <w:rFonts w:cs="Arial"/>
          <w:i w:val="false"/>
          <w:iCs w:val="false"/>
          <w:color w:val="000000"/>
          <w:sz w:val="21"/>
          <w:szCs w:val="21"/>
        </w:rPr>
        <w:t>contratação</w:t>
      </w:r>
      <w:r>
        <w:rPr>
          <w:i w:val="false"/>
          <w:iCs w:val="false"/>
          <w:color w:val="000000"/>
          <w:sz w:val="21"/>
          <w:szCs w:val="21"/>
        </w:rPr>
        <w:t xml:space="preserve"> é de </w:t>
      </w:r>
      <w:r>
        <w:rPr>
          <w:rFonts w:eastAsia="Times New Roman" w:cs="Arial"/>
          <w:b/>
          <w:bCs/>
          <w:i w:val="false"/>
          <w:iCs w:val="false"/>
          <w:color w:val="000000"/>
          <w:kern w:val="0"/>
          <w:sz w:val="21"/>
          <w:szCs w:val="21"/>
          <w:lang w:val="pt-BR" w:eastAsia="pt-BR" w:bidi="ar-SA"/>
        </w:rPr>
        <w:t>R$ 22.455,36(vinte e dois mil, quatrocentos e cinquenta e cinco reais e trinta e seis centavos)</w:t>
      </w:r>
    </w:p>
    <w:p>
      <w:pPr>
        <w:pStyle w:val="Nivel1"/>
        <w:numPr>
          <w:ilvl w:val="0"/>
          <w:numId w:val="4"/>
        </w:numPr>
        <w:rPr>
          <w:sz w:val="21"/>
          <w:szCs w:val="21"/>
        </w:rPr>
      </w:pPr>
      <w:r>
        <w:rPr>
          <w:rFonts w:cs="Arial"/>
          <w:bCs/>
          <w:sz w:val="21"/>
          <w:szCs w:val="21"/>
        </w:rPr>
        <w:t>DOS RECURSOS ORÇAMENTÁRIOS.</w:t>
      </w:r>
    </w:p>
    <w:p>
      <w:pPr>
        <w:pStyle w:val="Normal"/>
        <w:numPr>
          <w:ilvl w:val="1"/>
          <w:numId w:val="327"/>
        </w:numPr>
        <w:spacing w:lineRule="auto" w:line="276" w:before="120" w:after="120"/>
        <w:jc w:val="both"/>
        <w:rPr>
          <w:sz w:val="21"/>
          <w:szCs w:val="21"/>
        </w:rPr>
      </w:pPr>
      <w:r>
        <w:rPr>
          <w:rFonts w:eastAsia="Times New Roman" w:cs="Tahoma"/>
          <w:i w:val="false"/>
          <w:iCs w:val="false"/>
          <w:color w:val="000000"/>
          <w:kern w:val="0"/>
          <w:sz w:val="21"/>
          <w:szCs w:val="21"/>
          <w:shd w:fill="auto" w:val="clear"/>
          <w:lang w:val="pt-BR" w:eastAsia="pt-BR" w:bidi="ar-SA"/>
        </w:rPr>
        <w:t>As despesas decorrentes da presente contratação correrão à conta de recursos específicos consignados no Orçamento Geral da União deste exercício, na dotação abaixo discriminada:</w:t>
      </w:r>
    </w:p>
    <w:p>
      <w:pPr>
        <w:pStyle w:val="Normal"/>
        <w:numPr>
          <w:ilvl w:val="0"/>
          <w:numId w:val="0"/>
        </w:numPr>
        <w:spacing w:lineRule="auto" w:line="276" w:before="120" w:after="120"/>
        <w:ind w:left="716" w:hanging="0"/>
        <w:jc w:val="both"/>
        <w:rPr>
          <w:sz w:val="21"/>
          <w:szCs w:val="21"/>
        </w:rPr>
      </w:pPr>
      <w:r>
        <w:rPr>
          <w:rFonts w:eastAsia="Times New Roman" w:cs="Tahoma"/>
          <w:b/>
          <w:bCs/>
          <w:i w:val="false"/>
          <w:iCs w:val="false"/>
          <w:caps/>
          <w:color w:val="000000"/>
          <w:kern w:val="0"/>
          <w:sz w:val="21"/>
          <w:szCs w:val="21"/>
          <w:u w:val="single"/>
          <w:shd w:fill="auto" w:val="clear"/>
          <w:lang w:val="pt-BR" w:eastAsia="pt-BR" w:bidi="ar-SA"/>
        </w:rPr>
        <w:t xml:space="preserve">23.1.1 Fonte </w:t>
      </w:r>
      <w:r>
        <w:rPr>
          <w:rFonts w:eastAsia="Times New Roman" w:cs="Tahoma"/>
          <w:b/>
          <w:bCs/>
          <w:i w:val="false"/>
          <w:iCs w:val="false"/>
          <w:caps/>
          <w:color w:val="000000"/>
          <w:spacing w:val="0"/>
          <w:kern w:val="0"/>
          <w:sz w:val="21"/>
          <w:szCs w:val="21"/>
          <w:u w:val="single"/>
          <w:shd w:fill="auto" w:val="clear"/>
          <w:lang w:val="pt-BR" w:eastAsia="pt-BR" w:bidi="ar-SA"/>
        </w:rPr>
        <w:t>1000000000</w:t>
      </w:r>
    </w:p>
    <w:p>
      <w:pPr>
        <w:pStyle w:val="Normal"/>
        <w:numPr>
          <w:ilvl w:val="0"/>
          <w:numId w:val="0"/>
        </w:numPr>
        <w:spacing w:lineRule="auto" w:line="276" w:before="120" w:after="120"/>
        <w:ind w:left="716" w:hanging="0"/>
        <w:jc w:val="both"/>
        <w:rPr>
          <w:sz w:val="21"/>
          <w:szCs w:val="21"/>
        </w:rPr>
      </w:pPr>
      <w:r>
        <w:rPr>
          <w:rFonts w:eastAsia="Times New Roman" w:cs="Tahoma"/>
          <w:b/>
          <w:bCs/>
          <w:i w:val="false"/>
          <w:iCs w:val="false"/>
          <w:caps/>
          <w:color w:val="000000"/>
          <w:kern w:val="0"/>
          <w:sz w:val="21"/>
          <w:szCs w:val="21"/>
          <w:u w:val="single"/>
          <w:shd w:fill="auto" w:val="clear"/>
          <w:lang w:val="pt-BR" w:eastAsia="pt-BR" w:bidi="ar-SA"/>
        </w:rPr>
        <w:t xml:space="preserve"> </w:t>
      </w:r>
      <w:r>
        <w:rPr>
          <w:rFonts w:eastAsia="Times New Roman" w:cs="Tahoma"/>
          <w:b/>
          <w:bCs/>
          <w:i w:val="false"/>
          <w:iCs w:val="false"/>
          <w:caps/>
          <w:color w:val="000000"/>
          <w:kern w:val="0"/>
          <w:sz w:val="21"/>
          <w:szCs w:val="21"/>
          <w:u w:val="single"/>
          <w:shd w:fill="auto" w:val="clear"/>
          <w:lang w:val="pt-BR" w:eastAsia="pt-BR" w:bidi="ar-SA"/>
        </w:rPr>
        <w:t xml:space="preserve">23.1.2  PTRES 171083 – Natureza de Despesa 339000 </w:t>
      </w:r>
    </w:p>
    <w:p>
      <w:pPr>
        <w:pStyle w:val="Normal"/>
        <w:numPr>
          <w:ilvl w:val="0"/>
          <w:numId w:val="0"/>
        </w:numPr>
        <w:spacing w:lineRule="auto" w:line="276" w:before="120" w:after="120"/>
        <w:ind w:left="716" w:hanging="0"/>
        <w:jc w:val="both"/>
        <w:rPr>
          <w:sz w:val="21"/>
          <w:szCs w:val="21"/>
        </w:rPr>
      </w:pPr>
      <w:r>
        <w:rPr>
          <w:rFonts w:eastAsia="Times New Roman" w:cs="Tahoma"/>
          <w:b/>
          <w:bCs/>
          <w:i w:val="false"/>
          <w:iCs w:val="false"/>
          <w:caps/>
          <w:color w:val="000000"/>
          <w:kern w:val="0"/>
          <w:sz w:val="21"/>
          <w:szCs w:val="21"/>
          <w:u w:val="single"/>
          <w:shd w:fill="auto" w:val="clear"/>
          <w:lang w:val="pt-BR" w:eastAsia="pt-BR" w:bidi="ar-SA"/>
        </w:rPr>
        <w:t xml:space="preserve">23.1.3 Ação Governamental: 20RL </w:t>
      </w:r>
    </w:p>
    <w:p>
      <w:pPr>
        <w:pStyle w:val="Normal"/>
        <w:numPr>
          <w:ilvl w:val="0"/>
          <w:numId w:val="0"/>
        </w:numPr>
        <w:spacing w:lineRule="auto" w:line="276" w:before="120" w:after="120"/>
        <w:ind w:left="716" w:hanging="0"/>
        <w:jc w:val="both"/>
        <w:rPr>
          <w:sz w:val="21"/>
          <w:szCs w:val="21"/>
        </w:rPr>
      </w:pPr>
      <w:r>
        <w:rPr>
          <w:rFonts w:eastAsia="Times New Roman" w:cs="Tahoma"/>
          <w:b/>
          <w:bCs/>
          <w:i w:val="false"/>
          <w:iCs w:val="false"/>
          <w:caps/>
          <w:color w:val="000000"/>
          <w:kern w:val="0"/>
          <w:sz w:val="21"/>
          <w:szCs w:val="21"/>
          <w:u w:val="single"/>
          <w:shd w:fill="auto" w:val="clear"/>
          <w:lang w:val="pt-BR" w:eastAsia="pt-BR" w:bidi="ar-SA"/>
        </w:rPr>
        <w:t>23.1.4 Tipo: Atividade</w:t>
      </w:r>
    </w:p>
    <w:p>
      <w:pPr>
        <w:pStyle w:val="Normal"/>
        <w:spacing w:before="0" w:after="360"/>
        <w:ind w:hanging="0"/>
        <w:jc w:val="right"/>
        <w:rPr>
          <w:rFonts w:eastAsia="Times New Roman" w:cs="Arial"/>
          <w:i w:val="false"/>
          <w:i w:val="false"/>
          <w:iCs w:val="false"/>
          <w:color w:val="auto"/>
          <w:kern w:val="0"/>
          <w:lang w:val="pt-BR" w:eastAsia="pt-BR" w:bidi="ar-SA"/>
        </w:rPr>
      </w:pPr>
      <w:r>
        <w:rPr>
          <w:rFonts w:eastAsia="Times New Roman" w:cs="Arial"/>
          <w:i w:val="false"/>
          <w:iCs w:val="false"/>
          <w:color w:val="auto"/>
          <w:kern w:val="0"/>
          <w:lang w:val="pt-BR" w:eastAsia="pt-BR" w:bidi="ar-SA"/>
        </w:rPr>
      </w:r>
    </w:p>
    <w:p>
      <w:pPr>
        <w:pStyle w:val="Normal"/>
        <w:spacing w:before="0" w:after="360"/>
        <w:ind w:hanging="0"/>
        <w:jc w:val="right"/>
        <w:rPr>
          <w:rFonts w:eastAsia="Times New Roman" w:cs="Arial"/>
          <w:i w:val="false"/>
          <w:i w:val="false"/>
          <w:iCs w:val="false"/>
          <w:color w:val="auto"/>
          <w:kern w:val="0"/>
          <w:lang w:val="pt-BR" w:eastAsia="pt-BR" w:bidi="ar-SA"/>
        </w:rPr>
      </w:pPr>
      <w:r>
        <w:rPr>
          <w:rFonts w:eastAsia="Times New Roman" w:cs="Arial"/>
          <w:i w:val="false"/>
          <w:iCs w:val="false"/>
          <w:color w:val="auto"/>
          <w:kern w:val="0"/>
          <w:lang w:val="pt-BR" w:eastAsia="pt-BR" w:bidi="ar-SA"/>
        </w:rPr>
      </w:r>
    </w:p>
    <w:p>
      <w:pPr>
        <w:pStyle w:val="Normal"/>
        <w:spacing w:before="0" w:after="360"/>
        <w:ind w:hanging="0"/>
        <w:jc w:val="right"/>
        <w:rPr>
          <w:rFonts w:eastAsia="Times New Roman" w:cs="Arial"/>
          <w:i w:val="false"/>
          <w:i w:val="false"/>
          <w:iCs w:val="false"/>
          <w:color w:val="auto"/>
          <w:kern w:val="0"/>
          <w:lang w:val="pt-BR" w:eastAsia="pt-BR" w:bidi="ar-SA"/>
        </w:rPr>
      </w:pPr>
      <w:r>
        <w:rPr>
          <w:rFonts w:eastAsia="Times New Roman" w:cs="Arial"/>
          <w:i w:val="false"/>
          <w:iCs w:val="false"/>
          <w:color w:val="auto"/>
          <w:kern w:val="0"/>
          <w:lang w:val="pt-BR" w:eastAsia="pt-BR" w:bidi="ar-SA"/>
        </w:rPr>
      </w:r>
    </w:p>
    <w:p>
      <w:pPr>
        <w:pStyle w:val="Normal"/>
        <w:spacing w:before="0" w:after="360"/>
        <w:ind w:left="360" w:hanging="0"/>
        <w:jc w:val="right"/>
        <w:rPr>
          <w:sz w:val="21"/>
          <w:szCs w:val="21"/>
        </w:rPr>
      </w:pPr>
      <w:r>
        <w:rPr>
          <w:rFonts w:eastAsia="Times New Roman" w:cs="Arial"/>
          <w:i w:val="false"/>
          <w:iCs w:val="false"/>
          <w:color w:val="auto"/>
          <w:kern w:val="0"/>
          <w:sz w:val="21"/>
          <w:szCs w:val="21"/>
          <w:lang w:val="pt-BR" w:eastAsia="pt-BR" w:bidi="ar-SA"/>
        </w:rPr>
        <w:t>Petrolina-PE, 09 de  março de 2023</w:t>
      </w:r>
    </w:p>
    <w:p>
      <w:pPr>
        <w:pStyle w:val="Normal"/>
        <w:spacing w:before="0" w:after="360"/>
        <w:ind w:left="360" w:hanging="0"/>
        <w:rPr>
          <w:rFonts w:cs="Arial"/>
          <w:sz w:val="21"/>
          <w:szCs w:val="21"/>
        </w:rPr>
      </w:pPr>
      <w:r>
        <w:rPr>
          <w:rFonts w:cs="Arial"/>
          <w:sz w:val="21"/>
          <w:szCs w:val="21"/>
        </w:rPr>
        <w:t xml:space="preserve">Identificação e assinatura do servidor (ou equipe) responsável </w:t>
      </w:r>
    </w:p>
    <w:p>
      <w:pPr>
        <w:pStyle w:val="Normal"/>
        <w:spacing w:before="0" w:after="360"/>
        <w:ind w:left="360" w:hanging="0"/>
        <w:rPr>
          <w:rFonts w:cs="Arial"/>
          <w:sz w:val="21"/>
          <w:szCs w:val="21"/>
        </w:rPr>
      </w:pPr>
      <w:r>
        <w:rPr>
          <w:rFonts w:cs="Arial"/>
          <w:sz w:val="21"/>
          <w:szCs w:val="21"/>
        </w:rPr>
      </w:r>
    </w:p>
    <w:p>
      <w:pPr>
        <w:pStyle w:val="Normal"/>
        <w:spacing w:before="0" w:after="360"/>
        <w:ind w:left="360" w:hanging="0"/>
        <w:rPr>
          <w:rFonts w:cs="Arial"/>
        </w:rPr>
      </w:pPr>
      <w:r>
        <w:rPr>
          <w:rFonts w:cs="Arial"/>
        </w:rPr>
      </w:r>
    </w:p>
    <w:p>
      <w:pPr>
        <w:pStyle w:val="Normal"/>
        <w:spacing w:before="0" w:after="360"/>
        <w:ind w:left="360" w:hanging="0"/>
        <w:rPr>
          <w:rFonts w:cs="Arial"/>
        </w:rPr>
      </w:pPr>
      <w:r>
        <w:rPr>
          <w:rFonts w:cs="Arial"/>
        </w:rPr>
      </w:r>
    </w:p>
    <w:p>
      <w:pPr>
        <w:pStyle w:val="Normal"/>
        <w:spacing w:before="0" w:after="360"/>
        <w:ind w:left="360" w:hanging="0"/>
        <w:rPr>
          <w:rFonts w:cs="Arial"/>
        </w:rPr>
      </w:pPr>
      <w:r>
        <w:rPr>
          <w:rFonts w:cs="Arial"/>
        </w:rPr>
      </w:r>
    </w:p>
    <w:p>
      <w:pPr>
        <w:pStyle w:val="Normal"/>
        <w:spacing w:before="0" w:after="360"/>
        <w:ind w:left="360" w:hanging="0"/>
        <w:rPr>
          <w:rFonts w:cs="Arial"/>
        </w:rPr>
      </w:pPr>
      <w:r>
        <w:rPr>
          <w:rFonts w:cs="Arial"/>
        </w:rPr>
      </w:r>
    </w:p>
    <w:p>
      <w:pPr>
        <w:pStyle w:val="Normal"/>
        <w:spacing w:before="0" w:after="360"/>
        <w:ind w:left="360" w:hanging="0"/>
        <w:rPr>
          <w:rFonts w:cs="Arial"/>
        </w:rPr>
      </w:pPr>
      <w:r>
        <w:rPr>
          <w:rFonts w:cs="Arial"/>
        </w:rPr>
      </w:r>
    </w:p>
    <w:p>
      <w:pPr>
        <w:pStyle w:val="Normal"/>
        <w:spacing w:lineRule="auto" w:line="360" w:before="120" w:after="120"/>
        <w:ind w:right="-30" w:hanging="0"/>
        <w:jc w:val="both"/>
        <w:rPr>
          <w:sz w:val="21"/>
          <w:szCs w:val="21"/>
        </w:rPr>
      </w:pPr>
      <w:r>
        <w:rPr>
          <w:rFonts w:cs="Arial"/>
          <w:b/>
          <w:sz w:val="21"/>
          <w:szCs w:val="21"/>
        </w:rPr>
        <w:t xml:space="preserve">A P R O V O: </w:t>
      </w:r>
      <w:r>
        <w:rPr>
          <w:rFonts w:cs="Arial"/>
          <w:b w:val="false"/>
          <w:bCs w:val="false"/>
          <w:sz w:val="21"/>
          <w:szCs w:val="21"/>
        </w:rPr>
        <w:t xml:space="preserve">O presente Termo de Referência, cuja finalidade é subsidiar a </w:t>
      </w:r>
      <w:r>
        <w:rPr>
          <w:rFonts w:cs="Arial"/>
          <w:b/>
          <w:bCs/>
          <w:sz w:val="21"/>
          <w:szCs w:val="21"/>
        </w:rPr>
        <w:t>Contratação de empresa terceirizada para prestação de serviços postais e de logística integrada em atendimento a demanda da Reitoria do IF Sertão-PE</w:t>
      </w:r>
      <w:r>
        <w:rPr>
          <w:rFonts w:cs="Arial"/>
          <w:b w:val="false"/>
          <w:bCs w:val="false"/>
          <w:sz w:val="21"/>
          <w:szCs w:val="21"/>
        </w:rPr>
        <w:t xml:space="preserve"> a partir da data de assinatura do contrato, estando presentes os elementos necessários à identificação do objeto, seu custo e todos os critérios para contratação direta através de INEXIGIBILIDADE de licitação em conformidade com o </w:t>
      </w:r>
      <w:r>
        <w:rPr>
          <w:rFonts w:cs="Arial"/>
          <w:b/>
          <w:bCs/>
          <w:sz w:val="21"/>
          <w:szCs w:val="21"/>
        </w:rPr>
        <w:t xml:space="preserve">art. 25, caput, da Lei nº 8.666/1993. </w:t>
      </w:r>
    </w:p>
    <w:p>
      <w:pPr>
        <w:pStyle w:val="Normal"/>
        <w:spacing w:before="0" w:after="360"/>
        <w:ind w:left="360" w:hanging="0"/>
        <w:jc w:val="right"/>
        <w:rPr>
          <w:sz w:val="21"/>
          <w:szCs w:val="21"/>
        </w:rPr>
      </w:pPr>
      <w:r>
        <w:rPr>
          <w:rFonts w:eastAsia="Times New Roman" w:cs="Arial"/>
          <w:i w:val="false"/>
          <w:iCs w:val="false"/>
          <w:color w:val="auto"/>
          <w:kern w:val="0"/>
          <w:sz w:val="21"/>
          <w:szCs w:val="21"/>
          <w:lang w:val="pt-BR" w:eastAsia="pt-BR" w:bidi="ar-SA"/>
        </w:rPr>
        <w:t>Petrolina-PE, 09 de  março de 2023</w:t>
      </w:r>
    </w:p>
    <w:p>
      <w:pPr>
        <w:pStyle w:val="Normal"/>
        <w:spacing w:lineRule="auto" w:line="276" w:before="0" w:after="360"/>
        <w:ind w:left="360" w:hanging="0"/>
        <w:jc w:val="both"/>
        <w:rPr>
          <w:rFonts w:cs="Arial"/>
          <w:sz w:val="21"/>
          <w:szCs w:val="21"/>
        </w:rPr>
      </w:pPr>
      <w:r>
        <w:rPr>
          <w:rFonts w:cs="Arial"/>
          <w:sz w:val="21"/>
          <w:szCs w:val="21"/>
        </w:rPr>
      </w:r>
    </w:p>
    <w:p>
      <w:pPr>
        <w:pStyle w:val="Normal"/>
        <w:spacing w:lineRule="auto" w:line="276" w:before="0" w:after="360"/>
        <w:ind w:left="360" w:hanging="0"/>
        <w:jc w:val="both"/>
        <w:rPr>
          <w:rFonts w:cs="Arial"/>
          <w:sz w:val="21"/>
          <w:szCs w:val="21"/>
        </w:rPr>
      </w:pPr>
      <w:r>
        <w:rPr>
          <w:rFonts w:cs="Arial"/>
          <w:sz w:val="21"/>
          <w:szCs w:val="21"/>
        </w:rPr>
      </w:r>
    </w:p>
    <w:p>
      <w:pPr>
        <w:pStyle w:val="Normal"/>
        <w:spacing w:lineRule="auto" w:line="276" w:before="120" w:after="120"/>
        <w:ind w:right="-30" w:hanging="0"/>
        <w:jc w:val="center"/>
        <w:rPr>
          <w:sz w:val="21"/>
          <w:szCs w:val="21"/>
        </w:rPr>
      </w:pPr>
      <w:r>
        <w:rPr>
          <w:rFonts w:cs="Arial"/>
          <w:b/>
          <w:sz w:val="21"/>
          <w:szCs w:val="21"/>
        </w:rPr>
        <w:t>MARIA LEOPOLDINA VERAS CAMELO</w:t>
      </w:r>
    </w:p>
    <w:p>
      <w:pPr>
        <w:pStyle w:val="Normal"/>
        <w:spacing w:lineRule="auto" w:line="276" w:before="120" w:after="120"/>
        <w:ind w:right="-30" w:hanging="0"/>
        <w:jc w:val="center"/>
        <w:rPr>
          <w:sz w:val="21"/>
          <w:szCs w:val="21"/>
        </w:rPr>
      </w:pPr>
      <w:r>
        <w:rPr>
          <w:rFonts w:cs="Arial"/>
          <w:b/>
          <w:sz w:val="21"/>
          <w:szCs w:val="21"/>
        </w:rPr>
        <w:t xml:space="preserve"> </w:t>
      </w:r>
      <w:r>
        <w:rPr>
          <w:rFonts w:cs="Arial"/>
          <w:b/>
          <w:sz w:val="21"/>
          <w:szCs w:val="21"/>
        </w:rPr>
        <w:t xml:space="preserve">Reitora IFSertão-PE </w:t>
      </w:r>
    </w:p>
    <w:p>
      <w:pPr>
        <w:pStyle w:val="Normal"/>
        <w:spacing w:lineRule="auto" w:line="276" w:before="120" w:after="120"/>
        <w:ind w:right="-30" w:hanging="0"/>
        <w:jc w:val="both"/>
        <w:rPr>
          <w:rFonts w:cs="Arial"/>
          <w:b/>
          <w:b/>
          <w:bCs/>
          <w:sz w:val="21"/>
          <w:szCs w:val="21"/>
        </w:rPr>
      </w:pPr>
      <w:r>
        <w:rPr>
          <w:rFonts w:cs="Arial"/>
          <w:b/>
          <w:bCs/>
          <w:sz w:val="21"/>
          <w:szCs w:val="21"/>
        </w:rPr>
      </w:r>
    </w:p>
    <w:p>
      <w:pPr>
        <w:pStyle w:val="Normal"/>
        <w:spacing w:before="0" w:after="360"/>
        <w:ind w:left="360" w:hanging="0"/>
        <w:rPr>
          <w:sz w:val="21"/>
          <w:szCs w:val="21"/>
        </w:rPr>
      </w:pPr>
      <w:r>
        <w:rPr>
          <w:rFonts w:cs="Arial"/>
          <w:b/>
          <w:sz w:val="21"/>
          <w:szCs w:val="21"/>
        </w:rPr>
        <w:t>Anexos:</w:t>
      </w:r>
    </w:p>
    <w:p>
      <w:pPr>
        <w:pStyle w:val="Normal"/>
        <w:ind w:left="360" w:hanging="0"/>
        <w:rPr>
          <w:sz w:val="21"/>
          <w:szCs w:val="21"/>
        </w:rPr>
      </w:pPr>
      <w:r>
        <w:rPr>
          <w:rFonts w:cs="Arial"/>
          <w:sz w:val="21"/>
          <w:szCs w:val="21"/>
        </w:rPr>
        <w:t xml:space="preserve">I – Estudo Técnico Preliminar(ETP) </w:t>
      </w:r>
    </w:p>
    <w:p>
      <w:pPr>
        <w:pStyle w:val="Normal"/>
        <w:ind w:left="360" w:hanging="0"/>
        <w:rPr>
          <w:sz w:val="21"/>
          <w:szCs w:val="21"/>
        </w:rPr>
      </w:pPr>
      <w:r>
        <w:rPr/>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1701" w:right="1134" w:gutter="0" w:header="709" w:top="1418" w:footer="709" w:bottom="1418"/>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Ecofont_Spranq_eco_Sans">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TimesNew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____________________________________________________________________</w:t>
    </w:r>
  </w:p>
  <w:p>
    <w:pPr>
      <w:pStyle w:val="Rodap"/>
      <w:rPr>
        <w:sz w:val="12"/>
        <w:szCs w:val="12"/>
      </w:rPr>
    </w:pPr>
    <w:r>
      <w:rPr>
        <w:sz w:val="12"/>
        <w:szCs w:val="12"/>
      </w:rPr>
      <w:t>Câmara Nacional de Modelos de Licitações e Contratos Administrativos da Consultoria-Geral da União</w:t>
    </w:r>
  </w:p>
  <w:p>
    <w:pPr>
      <w:pStyle w:val="Rodap"/>
      <w:rPr>
        <w:sz w:val="12"/>
        <w:szCs w:val="12"/>
      </w:rPr>
    </w:pPr>
    <w:r>
      <w:rPr>
        <w:sz w:val="12"/>
        <w:szCs w:val="12"/>
      </w:rPr>
      <w:t>Termo de Referência - Modelo para Pregão Eletrônico: Serviços Contínuos sem dedicação exclusiva de mão de obra</w:t>
    </w:r>
  </w:p>
  <w:p>
    <w:pPr>
      <w:pStyle w:val="Rodap"/>
      <w:rPr>
        <w:sz w:val="12"/>
        <w:szCs w:val="12"/>
      </w:rPr>
    </w:pPr>
    <w:r>
      <w:rPr>
        <w:sz w:val="12"/>
        <w:szCs w:val="12"/>
      </w:rPr>
      <w:t>Atualização: Julho/2021</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____________________________________________________________________</w:t>
    </w:r>
  </w:p>
  <w:p>
    <w:pPr>
      <w:pStyle w:val="Rodap"/>
      <w:rPr>
        <w:sz w:val="12"/>
        <w:szCs w:val="12"/>
      </w:rPr>
    </w:pPr>
    <w:r>
      <w:rPr>
        <w:sz w:val="12"/>
        <w:szCs w:val="12"/>
      </w:rPr>
      <w:t>Câmara Nacional de Modelos de Licitações e Contratos Administrativos da Consultoria-Geral da União</w:t>
    </w:r>
  </w:p>
  <w:p>
    <w:pPr>
      <w:pStyle w:val="Rodap"/>
      <w:rPr>
        <w:sz w:val="12"/>
        <w:szCs w:val="12"/>
      </w:rPr>
    </w:pPr>
    <w:r>
      <w:rPr>
        <w:sz w:val="12"/>
        <w:szCs w:val="12"/>
      </w:rPr>
      <w:t>Termo de Referência - Modelo para Pregão Eletrônico: Serviços Contínuos sem dedicação exclusiva de mão de obra</w:t>
    </w:r>
  </w:p>
  <w:p>
    <w:pPr>
      <w:pStyle w:val="Rodap"/>
      <w:rPr>
        <w:sz w:val="12"/>
        <w:szCs w:val="12"/>
      </w:rPr>
    </w:pPr>
    <w:r>
      <w:rPr>
        <w:sz w:val="12"/>
        <w:szCs w:val="12"/>
      </w:rPr>
      <w:t>Atualização: Julho/2021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624" w:after="0"/>
      <w:ind w:left="-993" w:hanging="0"/>
      <w:jc w:val="center"/>
      <w:rPr>
        <w:rFonts w:ascii="Arial" w:hAnsi="Arial" w:eastAsia="Arial" w:cs="Arial"/>
        <w:b/>
        <w:b/>
      </w:rPr>
    </w:pPr>
    <w:r>
      <w:rPr>
        <w:rFonts w:eastAsia="Arial" w:cs="Arial"/>
        <w:b/>
      </w:rPr>
      <w:drawing>
        <wp:anchor behindDoc="1" distT="0" distB="0" distL="37465" distR="8890" simplePos="0" locked="0" layoutInCell="0" allowOverlap="1" relativeHeight="21">
          <wp:simplePos x="0" y="0"/>
          <wp:positionH relativeFrom="column">
            <wp:posOffset>2355850</wp:posOffset>
          </wp:positionH>
          <wp:positionV relativeFrom="paragraph">
            <wp:posOffset>-104775</wp:posOffset>
          </wp:positionV>
          <wp:extent cx="662940" cy="657860"/>
          <wp:effectExtent l="0" t="0" r="0" b="0"/>
          <wp:wrapTopAndBottom/>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662940" cy="657860"/>
                  </a:xfrm>
                  <a:prstGeom prst="rect">
                    <a:avLst/>
                  </a:prstGeom>
                </pic:spPr>
              </pic:pic>
            </a:graphicData>
          </a:graphic>
        </wp:anchor>
      </w:drawing>
    </w:r>
  </w:p>
  <w:p>
    <w:pPr>
      <w:pStyle w:val="Normal"/>
      <w:spacing w:lineRule="auto" w:line="276"/>
      <w:ind w:left="1276" w:hanging="0"/>
      <w:jc w:val="center"/>
      <w:rPr>
        <w:rFonts w:ascii="Arial" w:hAnsi="Arial" w:eastAsia="Arial" w:cs="Arial"/>
        <w:b/>
        <w:b/>
      </w:rPr>
    </w:pPr>
    <w:r>
      <w:rPr>
        <w:rFonts w:eastAsia="Arial" w:cs="Arial"/>
        <w:b/>
      </w:rPr>
    </w:r>
  </w:p>
  <w:p>
    <w:pPr>
      <w:pStyle w:val="Normal"/>
      <w:spacing w:lineRule="auto" w:line="276"/>
      <w:jc w:val="center"/>
      <w:rPr/>
    </w:pPr>
    <w:r>
      <w:rPr>
        <w:rFonts w:eastAsia="Arial" w:cs="Arial"/>
        <w:b/>
      </w:rPr>
      <w:t>MINISTÉRIO DA EDUCAÇÃO</w:t>
    </w:r>
  </w:p>
  <w:p>
    <w:pPr>
      <w:pStyle w:val="Normal"/>
      <w:spacing w:lineRule="auto" w:line="276"/>
      <w:jc w:val="center"/>
      <w:rPr/>
    </w:pPr>
    <w:r>
      <w:rPr>
        <w:rFonts w:eastAsia="Arial" w:cs="Arial"/>
        <w:b/>
        <w:sz w:val="16"/>
        <w:szCs w:val="16"/>
      </w:rPr>
      <w:t>SECRETARIA DE EDUCAÇÃO PROFISSIONAL E TECNOLÓGICA</w:t>
    </w:r>
  </w:p>
  <w:p>
    <w:pPr>
      <w:pStyle w:val="Normal"/>
      <w:spacing w:lineRule="auto" w:line="276"/>
      <w:jc w:val="center"/>
      <w:rPr/>
    </w:pPr>
    <w:r>
      <w:rPr>
        <w:rFonts w:eastAsia="Arial" w:cs="Arial"/>
        <w:b/>
        <w:sz w:val="16"/>
        <w:szCs w:val="16"/>
      </w:rPr>
      <w:t>INSTITUTO FEDERAL DE EDUCAÇÃO, CIÊNCIA E TECNOLOGIA DO SERTÃO PERNAMBUCANO</w:t>
    </w:r>
  </w:p>
  <w:p>
    <w:pPr>
      <w:pStyle w:val="Normal"/>
      <w:tabs>
        <w:tab w:val="clear" w:pos="720"/>
        <w:tab w:val="center" w:pos="4252" w:leader="none"/>
        <w:tab w:val="right" w:pos="8504" w:leader="none"/>
      </w:tabs>
      <w:spacing w:lineRule="auto" w:line="276"/>
      <w:rPr/>
    </w:pPr>
    <w:r>
      <w:rPr>
        <w:rFonts w:eastAsia="Arial" w:cs="Arial"/>
        <w:b/>
        <w:sz w:val="16"/>
        <w:szCs w:val="16"/>
      </w:rPr>
      <w:tab/>
      <w:t xml:space="preserve">            REITORIA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624" w:after="0"/>
      <w:ind w:left="-993" w:hanging="0"/>
      <w:jc w:val="center"/>
      <w:rPr>
        <w:rFonts w:ascii="Arial" w:hAnsi="Arial" w:eastAsia="Arial" w:cs="Arial"/>
        <w:b/>
        <w:b/>
      </w:rPr>
    </w:pPr>
    <w:r>
      <w:rPr>
        <w:rFonts w:eastAsia="Arial" w:cs="Arial"/>
        <w:b/>
      </w:rPr>
      <w:drawing>
        <wp:anchor behindDoc="1" distT="0" distB="0" distL="37465" distR="8890" simplePos="0" locked="0" layoutInCell="0" allowOverlap="1" relativeHeight="21">
          <wp:simplePos x="0" y="0"/>
          <wp:positionH relativeFrom="column">
            <wp:posOffset>2355850</wp:posOffset>
          </wp:positionH>
          <wp:positionV relativeFrom="paragraph">
            <wp:posOffset>-104775</wp:posOffset>
          </wp:positionV>
          <wp:extent cx="662940" cy="657860"/>
          <wp:effectExtent l="0" t="0" r="0" b="0"/>
          <wp:wrapTopAndBottom/>
          <wp:docPr id="2"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
                  <pic:cNvPicPr>
                    <a:picLocks noChangeAspect="1" noChangeArrowheads="1"/>
                  </pic:cNvPicPr>
                </pic:nvPicPr>
                <pic:blipFill>
                  <a:blip r:embed="rId1"/>
                  <a:stretch>
                    <a:fillRect/>
                  </a:stretch>
                </pic:blipFill>
                <pic:spPr bwMode="auto">
                  <a:xfrm>
                    <a:off x="0" y="0"/>
                    <a:ext cx="662940" cy="657860"/>
                  </a:xfrm>
                  <a:prstGeom prst="rect">
                    <a:avLst/>
                  </a:prstGeom>
                </pic:spPr>
              </pic:pic>
            </a:graphicData>
          </a:graphic>
        </wp:anchor>
      </w:drawing>
    </w:r>
  </w:p>
  <w:p>
    <w:pPr>
      <w:pStyle w:val="Normal"/>
      <w:spacing w:lineRule="auto" w:line="276"/>
      <w:ind w:left="1276" w:hanging="0"/>
      <w:jc w:val="center"/>
      <w:rPr>
        <w:rFonts w:ascii="Arial" w:hAnsi="Arial" w:eastAsia="Arial" w:cs="Arial"/>
        <w:b/>
        <w:b/>
      </w:rPr>
    </w:pPr>
    <w:r>
      <w:rPr>
        <w:rFonts w:eastAsia="Arial" w:cs="Arial"/>
        <w:b/>
      </w:rPr>
    </w:r>
  </w:p>
  <w:p>
    <w:pPr>
      <w:pStyle w:val="Normal"/>
      <w:spacing w:lineRule="auto" w:line="276"/>
      <w:jc w:val="center"/>
      <w:rPr/>
    </w:pPr>
    <w:r>
      <w:rPr>
        <w:rFonts w:eastAsia="Arial" w:cs="Arial"/>
        <w:b/>
      </w:rPr>
      <w:t>MINISTÉRIO DA EDUCAÇÃO</w:t>
    </w:r>
  </w:p>
  <w:p>
    <w:pPr>
      <w:pStyle w:val="Normal"/>
      <w:spacing w:lineRule="auto" w:line="276"/>
      <w:jc w:val="center"/>
      <w:rPr/>
    </w:pPr>
    <w:r>
      <w:rPr>
        <w:rFonts w:eastAsia="Arial" w:cs="Arial"/>
        <w:b/>
        <w:sz w:val="16"/>
        <w:szCs w:val="16"/>
      </w:rPr>
      <w:t>SECRETARIA DE EDUCAÇÃO PROFISSIONAL E TECNOLÓGICA</w:t>
    </w:r>
  </w:p>
  <w:p>
    <w:pPr>
      <w:pStyle w:val="Normal"/>
      <w:spacing w:lineRule="auto" w:line="276"/>
      <w:jc w:val="center"/>
      <w:rPr/>
    </w:pPr>
    <w:r>
      <w:rPr>
        <w:rFonts w:eastAsia="Arial" w:cs="Arial"/>
        <w:b/>
        <w:sz w:val="16"/>
        <w:szCs w:val="16"/>
      </w:rPr>
      <w:t>INSTITUTO FEDERAL DE EDUCAÇÃO, CIÊNCIA E TECNOLOGIA DO SERTÃO PERNAMBUCANO</w:t>
    </w:r>
  </w:p>
  <w:p>
    <w:pPr>
      <w:pStyle w:val="Normal"/>
      <w:tabs>
        <w:tab w:val="clear" w:pos="720"/>
        <w:tab w:val="center" w:pos="4252" w:leader="none"/>
        <w:tab w:val="right" w:pos="8504" w:leader="none"/>
      </w:tabs>
      <w:spacing w:lineRule="auto" w:line="276"/>
      <w:rPr/>
    </w:pPr>
    <w:r>
      <w:rPr>
        <w:rFonts w:eastAsia="Arial" w:cs="Arial"/>
        <w:b/>
        <w:sz w:val="16"/>
        <w:szCs w:val="16"/>
      </w:rPr>
      <w:tab/>
      <w:t xml:space="preserve">            REITORIA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502" w:hanging="360"/>
      </w:pPr>
      <w:rPr>
        <w:dstrike w:val="false"/>
        <w:strike w:val="false"/>
        <w:i w:val="false"/>
        <w:b/>
        <w:rFonts w:ascii="Arial" w:hAnsi="Arial"/>
      </w:rPr>
    </w:lvl>
    <w:lvl w:ilvl="1">
      <w:start w:val="1"/>
      <w:numFmt w:val="decimal"/>
      <w:lvlText w:val="%1.%2."/>
      <w:lvlJc w:val="left"/>
      <w:pPr>
        <w:tabs>
          <w:tab w:val="num" w:pos="0"/>
        </w:tabs>
        <w:ind w:left="858" w:hanging="432"/>
      </w:pPr>
      <w:rPr>
        <w:dstrike w:val="false"/>
        <w:strike w:val="false"/>
        <w:b w:val="false"/>
        <w:rFonts w:ascii="Arial" w:hAnsi="Arial"/>
      </w:rPr>
    </w:lvl>
    <w:lvl w:ilvl="2">
      <w:start w:val="1"/>
      <w:numFmt w:val="decimal"/>
      <w:lvlText w:val="%1.%2.%3."/>
      <w:lvlJc w:val="left"/>
      <w:pPr>
        <w:tabs>
          <w:tab w:val="num" w:pos="0"/>
        </w:tabs>
        <w:ind w:left="1224" w:hanging="504"/>
      </w:pPr>
      <w:rPr>
        <w:dstrike w:val="false"/>
        <w:strike w:val="false"/>
        <w:i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7"/>
      <w:numFmt w:val="decimal"/>
      <w:lvlText w:val="%1."/>
      <w:lvlJc w:val="left"/>
      <w:pPr>
        <w:tabs>
          <w:tab w:val="num" w:pos="0"/>
        </w:tabs>
        <w:ind w:left="360" w:hanging="360"/>
      </w:pPr>
    </w:lvl>
    <w:lvl w:ilvl="1">
      <w:start w:val="1"/>
      <w:numFmt w:val="decimal"/>
      <w:lvlText w:val="%1.%2."/>
      <w:lvlJc w:val="left"/>
      <w:pPr>
        <w:tabs>
          <w:tab w:val="num" w:pos="0"/>
        </w:tabs>
        <w:ind w:left="792" w:hanging="432"/>
      </w:pPr>
      <w:rPr>
        <w:i w:val="false"/>
        <w:b w:val="false"/>
      </w:rPr>
    </w:lvl>
    <w:lvl w:ilvl="2">
      <w:start w:val="1"/>
      <w:numFmt w:val="decimal"/>
      <w:lvlText w:val="%1.%2.%3."/>
      <w:lvlJc w:val="left"/>
      <w:pPr>
        <w:tabs>
          <w:tab w:val="num" w:pos="0"/>
        </w:tabs>
        <w:ind w:left="1224" w:hanging="504"/>
      </w:pPr>
      <w:rPr>
        <w:b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3">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6">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7">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8">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9">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0">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1">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2">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3">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4">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5">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6">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7">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8">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9">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0">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1">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2">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4">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7">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9">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0">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1">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2">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3">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4">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5">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6">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7">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8">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9">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0">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1">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2">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3">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4">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5">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6">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7">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8">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9">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0">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1">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2">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3">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4">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5">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6">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7">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8">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9">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0">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1">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2">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3">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4">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5">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6">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7">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8">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9">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0">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1">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2">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3">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4">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5">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6">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7">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8">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9">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0">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1">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2">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3">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4">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5">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6">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7">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8">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9">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0">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1">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2">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3">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4">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5">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6">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7">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8">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9">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0">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1">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2">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3">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4">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5">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6">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7">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8">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9">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0">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1">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2">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3">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4">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5">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6">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7">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8">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9">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0">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1">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2">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3">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4">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5">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6">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7">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8">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9">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0">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1">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2">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3">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4">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5">
    <w:lvl w:ilvl="0">
      <w:start w:val="1"/>
      <w:numFmt w:val="decimal"/>
      <w:lvlText w:val="%1."/>
      <w:lvlJc w:val="left"/>
      <w:pPr>
        <w:tabs>
          <w:tab w:val="num" w:pos="0"/>
        </w:tabs>
        <w:ind w:left="644" w:hanging="360"/>
      </w:pPr>
      <w:rPr>
        <w:i w:val="false"/>
        <w:b w:val="false"/>
        <w:bCs w:val="false"/>
      </w:rPr>
    </w:lvl>
    <w:lvl w:ilvl="1">
      <w:start w:val="1"/>
      <w:numFmt w:val="decimal"/>
      <w:lvlText w:val="%1.%2."/>
      <w:lvlJc w:val="left"/>
      <w:pPr>
        <w:tabs>
          <w:tab w:val="num" w:pos="0"/>
        </w:tabs>
        <w:ind w:left="716" w:hanging="432"/>
      </w:pPr>
      <w:rPr>
        <w:i w:val="false"/>
        <w:b w:val="false"/>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4"/>
  </w:num>
  <w:num w:numId="168">
    <w:abstractNumId w:val="4"/>
  </w:num>
  <w:num w:numId="169">
    <w:abstractNumId w:val="4"/>
  </w:num>
  <w:num w:numId="170">
    <w:abstractNumId w:val="4"/>
  </w:num>
  <w:num w:numId="171">
    <w:abstractNumId w:val="4"/>
  </w:num>
  <w:num w:numId="172">
    <w:abstractNumId w:val="4"/>
  </w:num>
  <w:num w:numId="173">
    <w:abstractNumId w:val="4"/>
  </w:num>
  <w:num w:numId="174">
    <w:abstractNumId w:val="4"/>
    <w:lvlOverride w:ilvl="1">
      <w:startOverride w:val="1"/>
    </w:lvlOverride>
  </w:num>
  <w:num w:numId="175">
    <w:abstractNumId w:val="4"/>
  </w:num>
  <w:num w:numId="176">
    <w:abstractNumId w:val="4"/>
  </w:num>
  <w:num w:numId="177">
    <w:abstractNumId w:val="4"/>
  </w:num>
  <w:num w:numId="178">
    <w:abstractNumId w:val="4"/>
  </w:num>
  <w:num w:numId="179">
    <w:abstractNumId w:val="4"/>
  </w:num>
  <w:num w:numId="180">
    <w:abstractNumId w:val="4"/>
  </w:num>
  <w:num w:numId="181">
    <w:abstractNumId w:val="4"/>
  </w:num>
  <w:num w:numId="182">
    <w:abstractNumId w:val="4"/>
  </w:num>
  <w:num w:numId="183">
    <w:abstractNumId w:val="4"/>
  </w:num>
  <w:num w:numId="184">
    <w:abstractNumId w:val="4"/>
  </w:num>
  <w:num w:numId="185">
    <w:abstractNumId w:val="4"/>
  </w:num>
  <w:num w:numId="186">
    <w:abstractNumId w:val="4"/>
  </w:num>
  <w:num w:numId="187">
    <w:abstractNumId w:val="4"/>
  </w:num>
  <w:num w:numId="188">
    <w:abstractNumId w:val="4"/>
  </w:num>
  <w:num w:numId="189">
    <w:abstractNumId w:val="4"/>
  </w:num>
  <w:num w:numId="190">
    <w:abstractNumId w:val="4"/>
    <w:lvlOverride w:ilvl="1">
      <w:startOverride w:val="1"/>
    </w:lvlOverride>
  </w:num>
  <w:num w:numId="191">
    <w:abstractNumId w:val="4"/>
  </w:num>
  <w:num w:numId="192">
    <w:abstractNumId w:val="4"/>
  </w:num>
  <w:num w:numId="193">
    <w:abstractNumId w:val="4"/>
  </w:num>
  <w:num w:numId="194">
    <w:abstractNumId w:val="4"/>
  </w:num>
  <w:num w:numId="195">
    <w:abstractNumId w:val="4"/>
  </w:num>
  <w:num w:numId="196">
    <w:abstractNumId w:val="4"/>
  </w:num>
  <w:num w:numId="197">
    <w:abstractNumId w:val="4"/>
  </w:num>
  <w:num w:numId="198">
    <w:abstractNumId w:val="4"/>
  </w:num>
  <w:num w:numId="199">
    <w:abstractNumId w:val="4"/>
  </w:num>
  <w:num w:numId="200">
    <w:abstractNumId w:val="4"/>
  </w:num>
  <w:num w:numId="201">
    <w:abstractNumId w:val="4"/>
  </w:num>
  <w:num w:numId="202">
    <w:abstractNumId w:val="4"/>
  </w:num>
  <w:num w:numId="203">
    <w:abstractNumId w:val="4"/>
  </w:num>
  <w:num w:numId="204">
    <w:abstractNumId w:val="4"/>
  </w:num>
  <w:num w:numId="205">
    <w:abstractNumId w:val="4"/>
  </w:num>
  <w:num w:numId="206">
    <w:abstractNumId w:val="4"/>
  </w:num>
  <w:num w:numId="207">
    <w:abstractNumId w:val="4"/>
  </w:num>
  <w:num w:numId="208">
    <w:abstractNumId w:val="4"/>
  </w:num>
  <w:num w:numId="209">
    <w:abstractNumId w:val="4"/>
  </w:num>
  <w:num w:numId="210">
    <w:abstractNumId w:val="4"/>
  </w:num>
  <w:num w:numId="211">
    <w:abstractNumId w:val="4"/>
  </w:num>
  <w:num w:numId="212">
    <w:abstractNumId w:val="4"/>
  </w:num>
  <w:num w:numId="213">
    <w:abstractNumId w:val="4"/>
  </w:num>
  <w:num w:numId="214">
    <w:abstractNumId w:val="4"/>
  </w:num>
  <w:num w:numId="215">
    <w:abstractNumId w:val="4"/>
  </w:num>
  <w:num w:numId="216">
    <w:abstractNumId w:val="4"/>
  </w:num>
  <w:num w:numId="217">
    <w:abstractNumId w:val="4"/>
  </w:num>
  <w:num w:numId="218">
    <w:abstractNumId w:val="4"/>
  </w:num>
  <w:num w:numId="219">
    <w:abstractNumId w:val="4"/>
  </w:num>
  <w:num w:numId="220">
    <w:abstractNumId w:val="4"/>
  </w:num>
  <w:num w:numId="221">
    <w:abstractNumId w:val="4"/>
  </w:num>
  <w:num w:numId="222">
    <w:abstractNumId w:val="4"/>
  </w:num>
  <w:num w:numId="223">
    <w:abstractNumId w:val="4"/>
  </w:num>
  <w:num w:numId="224">
    <w:abstractNumId w:val="4"/>
  </w:num>
  <w:num w:numId="225">
    <w:abstractNumId w:val="4"/>
  </w:num>
  <w:num w:numId="226">
    <w:abstractNumId w:val="4"/>
  </w:num>
  <w:num w:numId="227">
    <w:abstractNumId w:val="4"/>
  </w:num>
  <w:num w:numId="228">
    <w:abstractNumId w:val="4"/>
  </w:num>
  <w:num w:numId="229">
    <w:abstractNumId w:val="4"/>
  </w:num>
  <w:num w:numId="230">
    <w:abstractNumId w:val="4"/>
  </w:num>
  <w:num w:numId="231">
    <w:abstractNumId w:val="4"/>
  </w:num>
  <w:num w:numId="232">
    <w:abstractNumId w:val="4"/>
  </w:num>
  <w:num w:numId="233">
    <w:abstractNumId w:val="4"/>
  </w:num>
  <w:num w:numId="234">
    <w:abstractNumId w:val="4"/>
  </w:num>
  <w:num w:numId="235">
    <w:abstractNumId w:val="4"/>
  </w:num>
  <w:num w:numId="236">
    <w:abstractNumId w:val="4"/>
  </w:num>
  <w:num w:numId="237">
    <w:abstractNumId w:val="4"/>
  </w:num>
  <w:num w:numId="238">
    <w:abstractNumId w:val="4"/>
  </w:num>
  <w:num w:numId="239">
    <w:abstractNumId w:val="4"/>
  </w:num>
  <w:num w:numId="240">
    <w:abstractNumId w:val="4"/>
  </w:num>
  <w:num w:numId="241">
    <w:abstractNumId w:val="4"/>
  </w:num>
  <w:num w:numId="242">
    <w:abstractNumId w:val="4"/>
  </w:num>
  <w:num w:numId="243">
    <w:abstractNumId w:val="4"/>
  </w:num>
  <w:num w:numId="244">
    <w:abstractNumId w:val="4"/>
  </w:num>
  <w:num w:numId="245">
    <w:abstractNumId w:val="4"/>
  </w:num>
  <w:num w:numId="246">
    <w:abstractNumId w:val="4"/>
  </w:num>
  <w:num w:numId="247">
    <w:abstractNumId w:val="4"/>
  </w:num>
  <w:num w:numId="248">
    <w:abstractNumId w:val="4"/>
  </w:num>
  <w:num w:numId="249">
    <w:abstractNumId w:val="4"/>
  </w:num>
  <w:num w:numId="250">
    <w:abstractNumId w:val="4"/>
  </w:num>
  <w:num w:numId="251">
    <w:abstractNumId w:val="4"/>
  </w:num>
  <w:num w:numId="252">
    <w:abstractNumId w:val="4"/>
  </w:num>
  <w:num w:numId="253">
    <w:abstractNumId w:val="4"/>
  </w:num>
  <w:num w:numId="254">
    <w:abstractNumId w:val="4"/>
  </w:num>
  <w:num w:numId="255">
    <w:abstractNumId w:val="4"/>
  </w:num>
  <w:num w:numId="256">
    <w:abstractNumId w:val="4"/>
  </w:num>
  <w:num w:numId="257">
    <w:abstractNumId w:val="4"/>
  </w:num>
  <w:num w:numId="258">
    <w:abstractNumId w:val="4"/>
  </w:num>
  <w:num w:numId="259">
    <w:abstractNumId w:val="4"/>
  </w:num>
  <w:num w:numId="260">
    <w:abstractNumId w:val="4"/>
  </w:num>
  <w:num w:numId="261">
    <w:abstractNumId w:val="4"/>
  </w:num>
  <w:num w:numId="262">
    <w:abstractNumId w:val="4"/>
  </w:num>
  <w:num w:numId="263">
    <w:abstractNumId w:val="4"/>
  </w:num>
  <w:num w:numId="264">
    <w:abstractNumId w:val="4"/>
  </w:num>
  <w:num w:numId="265">
    <w:abstractNumId w:val="4"/>
  </w:num>
  <w:num w:numId="266">
    <w:abstractNumId w:val="4"/>
  </w:num>
  <w:num w:numId="267">
    <w:abstractNumId w:val="4"/>
  </w:num>
  <w:num w:numId="268">
    <w:abstractNumId w:val="4"/>
  </w:num>
  <w:num w:numId="269">
    <w:abstractNumId w:val="4"/>
  </w:num>
  <w:num w:numId="270">
    <w:abstractNumId w:val="4"/>
  </w:num>
  <w:num w:numId="271">
    <w:abstractNumId w:val="4"/>
  </w:num>
  <w:num w:numId="272">
    <w:abstractNumId w:val="4"/>
  </w:num>
  <w:num w:numId="273">
    <w:abstractNumId w:val="4"/>
  </w:num>
  <w:num w:numId="274">
    <w:abstractNumId w:val="4"/>
  </w:num>
  <w:num w:numId="275">
    <w:abstractNumId w:val="4"/>
  </w:num>
  <w:num w:numId="276">
    <w:abstractNumId w:val="4"/>
  </w:num>
  <w:num w:numId="277">
    <w:abstractNumId w:val="4"/>
  </w:num>
  <w:num w:numId="278">
    <w:abstractNumId w:val="4"/>
  </w:num>
  <w:num w:numId="279">
    <w:abstractNumId w:val="4"/>
  </w:num>
  <w:num w:numId="280">
    <w:abstractNumId w:val="4"/>
  </w:num>
  <w:num w:numId="281">
    <w:abstractNumId w:val="4"/>
  </w:num>
  <w:num w:numId="282">
    <w:abstractNumId w:val="4"/>
  </w:num>
  <w:num w:numId="283">
    <w:abstractNumId w:val="4"/>
  </w:num>
  <w:num w:numId="284">
    <w:abstractNumId w:val="4"/>
  </w:num>
  <w:num w:numId="285">
    <w:abstractNumId w:val="4"/>
  </w:num>
  <w:num w:numId="286">
    <w:abstractNumId w:val="4"/>
  </w:num>
  <w:num w:numId="287">
    <w:abstractNumId w:val="4"/>
  </w:num>
  <w:num w:numId="288">
    <w:abstractNumId w:val="4"/>
  </w:num>
  <w:num w:numId="289">
    <w:abstractNumId w:val="4"/>
  </w:num>
  <w:num w:numId="290">
    <w:abstractNumId w:val="4"/>
  </w:num>
  <w:num w:numId="291">
    <w:abstractNumId w:val="4"/>
  </w:num>
  <w:num w:numId="292">
    <w:abstractNumId w:val="4"/>
  </w:num>
  <w:num w:numId="293">
    <w:abstractNumId w:val="4"/>
  </w:num>
  <w:num w:numId="294">
    <w:abstractNumId w:val="4"/>
  </w:num>
  <w:num w:numId="295">
    <w:abstractNumId w:val="4"/>
  </w:num>
  <w:num w:numId="296">
    <w:abstractNumId w:val="4"/>
  </w:num>
  <w:num w:numId="297">
    <w:abstractNumId w:val="4"/>
  </w:num>
  <w:num w:numId="298">
    <w:abstractNumId w:val="4"/>
  </w:num>
  <w:num w:numId="299">
    <w:abstractNumId w:val="4"/>
  </w:num>
  <w:num w:numId="300">
    <w:abstractNumId w:val="4"/>
  </w:num>
  <w:num w:numId="301">
    <w:abstractNumId w:val="4"/>
  </w:num>
  <w:num w:numId="302">
    <w:abstractNumId w:val="4"/>
  </w:num>
  <w:num w:numId="303">
    <w:abstractNumId w:val="4"/>
  </w:num>
  <w:num w:numId="304">
    <w:abstractNumId w:val="4"/>
  </w:num>
  <w:num w:numId="305">
    <w:abstractNumId w:val="4"/>
  </w:num>
  <w:num w:numId="306">
    <w:abstractNumId w:val="4"/>
  </w:num>
  <w:num w:numId="307">
    <w:abstractNumId w:val="4"/>
  </w:num>
  <w:num w:numId="308">
    <w:abstractNumId w:val="4"/>
  </w:num>
  <w:num w:numId="309">
    <w:abstractNumId w:val="4"/>
  </w:num>
  <w:num w:numId="310">
    <w:abstractNumId w:val="4"/>
  </w:num>
  <w:num w:numId="311">
    <w:abstractNumId w:val="4"/>
  </w:num>
  <w:num w:numId="312">
    <w:abstractNumId w:val="4"/>
  </w:num>
  <w:num w:numId="313">
    <w:abstractNumId w:val="4"/>
  </w:num>
  <w:num w:numId="314">
    <w:abstractNumId w:val="4"/>
  </w:num>
  <w:num w:numId="315">
    <w:abstractNumId w:val="4"/>
  </w:num>
  <w:num w:numId="316">
    <w:abstractNumId w:val="4"/>
  </w:num>
  <w:num w:numId="317">
    <w:abstractNumId w:val="4"/>
  </w:num>
  <w:num w:numId="318">
    <w:abstractNumId w:val="4"/>
  </w:num>
  <w:num w:numId="319">
    <w:abstractNumId w:val="4"/>
  </w:num>
  <w:num w:numId="320">
    <w:abstractNumId w:val="4"/>
  </w:num>
  <w:num w:numId="321">
    <w:abstractNumId w:val="4"/>
  </w:num>
  <w:num w:numId="322">
    <w:abstractNumId w:val="4"/>
  </w:num>
  <w:num w:numId="323">
    <w:abstractNumId w:val="4"/>
  </w:num>
  <w:num w:numId="324">
    <w:abstractNumId w:val="4"/>
  </w:num>
  <w:num w:numId="325">
    <w:abstractNumId w:val="4"/>
  </w:num>
  <w:num w:numId="326">
    <w:abstractNumId w:val="4"/>
  </w:num>
  <w:num w:numId="327">
    <w:abstractNumId w:val="4"/>
  </w:num>
</w:numbering>
</file>

<file path=word/settings.xml><?xml version="1.0" encoding="utf-8"?>
<w:settings xmlns:w="http://schemas.openxmlformats.org/wordprocessingml/2006/main">
  <w:zoom w:percent="100"/>
  <w:mirrorMargin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d390a"/>
    <w:pPr>
      <w:widowControl/>
      <w:suppressAutoHyphens w:val="true"/>
      <w:bidi w:val="0"/>
      <w:spacing w:before="0" w:after="0"/>
      <w:jc w:val="left"/>
    </w:pPr>
    <w:rPr>
      <w:rFonts w:ascii="Arial" w:hAnsi="Arial" w:eastAsia="Times New Roman" w:cs="Tahoma"/>
      <w:color w:val="auto"/>
      <w:kern w:val="0"/>
      <w:sz w:val="20"/>
      <w:szCs w:val="24"/>
      <w:lang w:val="pt-BR" w:eastAsia="pt-BR" w:bidi="ar-SA"/>
    </w:rPr>
  </w:style>
  <w:style w:type="paragraph" w:styleId="Ttulo1">
    <w:name w:val="Heading 1"/>
    <w:basedOn w:val="Normal"/>
    <w:next w:val="Normal"/>
    <w:link w:val="Ttulo1Char"/>
    <w:qFormat/>
    <w:rsid w:val="000d390a"/>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Ttulo2">
    <w:name w:val="Heading 2"/>
    <w:basedOn w:val="Normal"/>
    <w:next w:val="Normal"/>
    <w:link w:val="Ttulo2Char"/>
    <w:qFormat/>
    <w:rsid w:val="004b460a"/>
    <w:pPr>
      <w:keepNext w:val="true"/>
      <w:tabs>
        <w:tab w:val="clear" w:pos="720"/>
        <w:tab w:val="left" w:pos="1701" w:leader="none"/>
      </w:tabs>
      <w:ind w:right="-1" w:hanging="0"/>
      <w:jc w:val="center"/>
      <w:outlineLvl w:val="1"/>
    </w:pPr>
    <w:rPr>
      <w:rFonts w:ascii="Times New Roman" w:hAnsi="Times New Roman" w:cs="Times New Roman"/>
      <w:b/>
      <w:color w:val="000000"/>
      <w:szCs w:val="20"/>
      <w:lang w:val="x-none" w:eastAsia="x-none"/>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rPr>
  </w:style>
  <w:style w:type="character" w:styleId="CitaoChar" w:customStyle="1">
    <w:name w:val="Citação Char"/>
    <w:link w:val="Citao"/>
    <w:uiPriority w:val="29"/>
    <w:qFormat/>
    <w:rsid w:val="00c322f1"/>
    <w:rPr>
      <w:rFonts w:ascii="Ecofont_Spranq_eco_Sans" w:hAnsi="Ecofont_Spranq_eco_Sans" w:eastAsia="Calibri" w:cs="Tahoma"/>
      <w:i/>
      <w:iCs/>
      <w:color w:val="000000"/>
      <w:szCs w:val="24"/>
      <w:shd w:fill="FFFFCC" w:val="clear"/>
      <w:lang w:eastAsia="en-US"/>
    </w:rPr>
  </w:style>
  <w:style w:type="character" w:styleId="Citao2Char" w:customStyle="1">
    <w:name w:val="citação 2 Char"/>
    <w:basedOn w:val="CitaoChar"/>
    <w:link w:val="citao2"/>
    <w:qFormat/>
    <w:rsid w:val="000a23da"/>
    <w:rPr>
      <w:rFonts w:ascii="Ecofont_Spranq_eco_Sans" w:hAnsi="Ecofont_Spranq_eco_Sans" w:eastAsia="Calibri" w:cs="Tahoma"/>
      <w:i/>
      <w:iCs/>
      <w:color w:val="000000"/>
      <w:szCs w:val="24"/>
      <w:shd w:fill="FFFFCC" w:val="clear"/>
      <w:lang w:eastAsia="en-US"/>
    </w:rPr>
  </w:style>
  <w:style w:type="character" w:styleId="Annotationreference">
    <w:name w:val="annotation reference"/>
    <w:basedOn w:val="DefaultParagraphFont"/>
    <w:semiHidden/>
    <w:unhideWhenUsed/>
    <w:qFormat/>
    <w:rsid w:val="0015519e"/>
    <w:rPr>
      <w:sz w:val="16"/>
      <w:szCs w:val="16"/>
    </w:rPr>
  </w:style>
  <w:style w:type="character" w:styleId="TextodecomentrioChar" w:customStyle="1">
    <w:name w:val="Texto de comentário Char"/>
    <w:basedOn w:val="DefaultParagraphFont"/>
    <w:link w:val="Textodecomentrio"/>
    <w:qFormat/>
    <w:rsid w:val="0015519e"/>
    <w:rPr>
      <w:rFonts w:ascii="Ecofont_Spranq_eco_Sans" w:hAnsi="Ecofont_Spranq_eco_Sans" w:cs="Tahoma"/>
    </w:rPr>
  </w:style>
  <w:style w:type="character" w:styleId="AssuntodocomentrioChar" w:customStyle="1">
    <w:name w:val="Assunto do comentário Char"/>
    <w:basedOn w:val="TextodecomentrioChar"/>
    <w:link w:val="Assuntodocomentrio"/>
    <w:semiHidden/>
    <w:qFormat/>
    <w:rsid w:val="0015519e"/>
    <w:rPr>
      <w:rFonts w:ascii="Ecofont_Spranq_eco_Sans" w:hAnsi="Ecofont_Spranq_eco_Sans" w:cs="Tahoma"/>
      <w:b/>
      <w:bCs/>
    </w:rPr>
  </w:style>
  <w:style w:type="character" w:styleId="PlaceholderText">
    <w:name w:val="Placeholder Text"/>
    <w:basedOn w:val="DefaultParagraphFont"/>
    <w:uiPriority w:val="99"/>
    <w:semiHidden/>
    <w:qFormat/>
    <w:rsid w:val="00dd3355"/>
    <w:rPr>
      <w:color w:val="808080"/>
    </w:rPr>
  </w:style>
  <w:style w:type="character" w:styleId="CabealhoChar" w:customStyle="1">
    <w:name w:val="Cabeçalho Char"/>
    <w:basedOn w:val="DefaultParagraphFont"/>
    <w:link w:val="Cabealho"/>
    <w:qFormat/>
    <w:rsid w:val="00db64ef"/>
    <w:rPr>
      <w:rFonts w:ascii="Ecofont_Spranq_eco_Sans" w:hAnsi="Ecofont_Spranq_eco_Sans" w:cs="Tahoma"/>
      <w:sz w:val="24"/>
      <w:szCs w:val="24"/>
    </w:rPr>
  </w:style>
  <w:style w:type="character" w:styleId="RodapChar" w:customStyle="1">
    <w:name w:val="Rodapé Char"/>
    <w:basedOn w:val="DefaultParagraphFont"/>
    <w:link w:val="Rodap"/>
    <w:uiPriority w:val="99"/>
    <w:qFormat/>
    <w:rsid w:val="00db64ef"/>
    <w:rPr>
      <w:rFonts w:ascii="Ecofont_Spranq_eco_Sans" w:hAnsi="Ecofont_Spranq_eco_Sans" w:cs="Tahoma"/>
      <w:sz w:val="24"/>
      <w:szCs w:val="24"/>
    </w:rPr>
  </w:style>
  <w:style w:type="character" w:styleId="Ttulo1Char" w:customStyle="1">
    <w:name w:val="Título 1 Char"/>
    <w:basedOn w:val="DefaultParagraphFont"/>
    <w:link w:val="Ttulo1"/>
    <w:qFormat/>
    <w:rsid w:val="000d390a"/>
    <w:rPr>
      <w:rFonts w:ascii="Cambria" w:hAnsi="Cambria" w:eastAsia="" w:cs="" w:asciiTheme="majorHAnsi" w:cstheme="majorBidi" w:eastAsiaTheme="majorEastAsia" w:hAnsiTheme="majorHAnsi"/>
      <w:color w:val="365F91" w:themeColor="accent1" w:themeShade="bf"/>
      <w:sz w:val="32"/>
      <w:szCs w:val="32"/>
    </w:rPr>
  </w:style>
  <w:style w:type="character" w:styleId="Nivel1Char" w:customStyle="1">
    <w:name w:val="Nivel1 Char"/>
    <w:basedOn w:val="Ttulo1Char"/>
    <w:link w:val="Nivel1"/>
    <w:qFormat/>
    <w:rsid w:val="000d390a"/>
    <w:rPr>
      <w:rFonts w:ascii="Arial" w:hAnsi="Arial" w:eastAsia="" w:cs="" w:cstheme="majorBidi" w:eastAsiaTheme="majorEastAsia"/>
      <w:b/>
      <w:color w:val="000000"/>
      <w:sz w:val="32"/>
      <w:szCs w:val="32"/>
    </w:rPr>
  </w:style>
  <w:style w:type="character" w:styleId="QuoteChar" w:customStyle="1">
    <w:name w:val="Quote Char"/>
    <w:link w:val="Citao1"/>
    <w:qFormat/>
    <w:rsid w:val="00b222ee"/>
    <w:rPr>
      <w:rFonts w:ascii="Ecofont_Spranq_eco_Sans" w:hAnsi="Ecofont_Spranq_eco_Sans" w:cs="Ecofont_Spranq_eco_Sans"/>
      <w:i/>
      <w:iCs/>
      <w:color w:val="000000"/>
      <w:sz w:val="24"/>
      <w:szCs w:val="24"/>
      <w:shd w:fill="FFFFCC" w:val="clear"/>
      <w:lang w:eastAsia="en-US"/>
    </w:rPr>
  </w:style>
  <w:style w:type="character" w:styleId="Appleconvertedspace" w:customStyle="1">
    <w:name w:val="apple-converted-space"/>
    <w:basedOn w:val="DefaultParagraphFont"/>
    <w:qFormat/>
    <w:rsid w:val="00e014b9"/>
    <w:rPr/>
  </w:style>
  <w:style w:type="character" w:styleId="Nivel01Char" w:customStyle="1">
    <w:name w:val="Nivel 01 Char"/>
    <w:basedOn w:val="DefaultParagraphFont"/>
    <w:link w:val="Nivel010"/>
    <w:qFormat/>
    <w:locked/>
    <w:rsid w:val="0085196b"/>
    <w:rPr>
      <w:rFonts w:ascii="Arial" w:hAnsi="Arial" w:eastAsia="" w:cs="" w:cstheme="majorBidi" w:eastAsiaTheme="majorEastAsia"/>
      <w:b/>
      <w:bCs/>
      <w:color w:val="000000"/>
      <w:sz w:val="32"/>
      <w:szCs w:val="32"/>
    </w:rPr>
  </w:style>
  <w:style w:type="character" w:styleId="Strong">
    <w:name w:val="Strong"/>
    <w:basedOn w:val="DefaultParagraphFont"/>
    <w:uiPriority w:val="22"/>
    <w:qFormat/>
    <w:rsid w:val="0085196b"/>
    <w:rPr>
      <w:b/>
      <w:bCs/>
    </w:rPr>
  </w:style>
  <w:style w:type="character" w:styleId="GradeColoridanfase1Char" w:customStyle="1">
    <w:name w:val="Grade Colorida - Ênfase 1 Char"/>
    <w:link w:val="GradeColorida-nfase11"/>
    <w:qFormat/>
    <w:rsid w:val="00dd3603"/>
    <w:rPr>
      <w:rFonts w:ascii="Ecofont_Spranq_eco_Sans" w:hAnsi="Ecofont_Spranq_eco_Sans" w:eastAsia="Calibri" w:cs="Ecofont_Spranq_eco_Sans"/>
      <w:i/>
      <w:iCs/>
      <w:color w:val="000000"/>
      <w:szCs w:val="24"/>
      <w:shd w:fill="FFFFCC" w:val="clear"/>
      <w:lang w:val="x-none"/>
    </w:rPr>
  </w:style>
  <w:style w:type="character" w:styleId="WW8Num2z1" w:customStyle="1">
    <w:name w:val="WW8Num2z1"/>
    <w:qFormat/>
    <w:rsid w:val="007b7e1c"/>
    <w:rPr>
      <w:i w:val="false"/>
    </w:rPr>
  </w:style>
  <w:style w:type="character" w:styleId="Nfase">
    <w:name w:val="Ênfase"/>
    <w:basedOn w:val="DefaultParagraphFont"/>
    <w:uiPriority w:val="20"/>
    <w:qFormat/>
    <w:rsid w:val="00f70f2b"/>
    <w:rPr>
      <w:i/>
      <w:iCs/>
    </w:rPr>
  </w:style>
  <w:style w:type="character" w:styleId="Nivel2Char" w:customStyle="1">
    <w:name w:val="Nivel 2 Char"/>
    <w:basedOn w:val="DefaultParagraphFont"/>
    <w:link w:val="Nivel2"/>
    <w:qFormat/>
    <w:rsid w:val="00d7051d"/>
    <w:rPr>
      <w:rFonts w:ascii="Ecofont_Spranq_eco_Sans" w:hAnsi="Ecofont_Spranq_eco_Sans" w:eastAsia="Arial Unicode MS"/>
    </w:rPr>
  </w:style>
  <w:style w:type="character" w:styleId="Linkdainternetvisitado">
    <w:name w:val="Link da internet visitado"/>
    <w:basedOn w:val="DefaultParagraphFont"/>
    <w:semiHidden/>
    <w:unhideWhenUsed/>
    <w:rsid w:val="00114978"/>
    <w:rPr>
      <w:color w:val="800080" w:themeColor="followedHyperlink"/>
      <w:u w:val="singl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istParagraph">
    <w:name w:val="List Paragraph"/>
    <w:basedOn w:val="Normal"/>
    <w:uiPriority w:val="34"/>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qFormat/>
    <w:rsid w:val="003a73c1"/>
    <w:pPr/>
    <w:rPr>
      <w:rFonts w:ascii="Tahoma" w:hAnsi="Tahoma" w:cs="Times New Roman"/>
      <w:sz w:val="16"/>
      <w:szCs w:val="16"/>
      <w:lang w:val="x-none" w:eastAsia="x-none"/>
    </w:rPr>
  </w:style>
  <w:style w:type="paragraph" w:styleId="Nvel2" w:customStyle="1">
    <w:name w:val="Nível 2"/>
    <w:basedOn w:val="Normal"/>
    <w:next w:val="Normal"/>
    <w:qFormat/>
    <w:rsid w:val="004b460a"/>
    <w:pPr>
      <w:spacing w:before="0" w:after="120"/>
      <w:jc w:val="both"/>
    </w:pPr>
    <w:rPr>
      <w:rFonts w:cs="Times New Roman"/>
      <w:b/>
      <w:szCs w:val="20"/>
    </w:rPr>
  </w:style>
  <w:style w:type="paragraph" w:styleId="Quote">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s="Times New Roman"/>
      <w:i/>
      <w:iCs/>
      <w:color w:val="000000"/>
      <w:lang w:val="x-none" w:eastAsia="en-US"/>
    </w:rPr>
  </w:style>
  <w:style w:type="paragraph" w:styleId="ListBullet5">
    <w:name w:val="List Bullet 5"/>
    <w:basedOn w:val="Normal"/>
    <w:qFormat/>
    <w:rsid w:val="001a3a05"/>
    <w:pPr>
      <w:numPr>
        <w:ilvl w:val="0"/>
        <w:numId w:val="1"/>
      </w:numPr>
      <w:spacing w:before="0" w:after="0"/>
      <w:contextualSpacing/>
    </w:pPr>
    <w:rPr/>
  </w:style>
  <w:style w:type="paragraph" w:styleId="Citao2" w:customStyle="1">
    <w:name w:val="citação 2"/>
    <w:basedOn w:val="Quote"/>
    <w:link w:val="citao2Char"/>
    <w:qFormat/>
    <w:rsid w:val="000a23da"/>
    <w:pPr/>
    <w:rPr>
      <w:szCs w:val="20"/>
    </w:rPr>
  </w:style>
  <w:style w:type="paragraph" w:styleId="Annotationtext">
    <w:name w:val="annotation text"/>
    <w:basedOn w:val="Normal"/>
    <w:link w:val="TextodecomentrioChar"/>
    <w:unhideWhenUsed/>
    <w:qFormat/>
    <w:rsid w:val="0015519e"/>
    <w:pPr/>
    <w:rPr>
      <w:szCs w:val="20"/>
    </w:rPr>
  </w:style>
  <w:style w:type="paragraph" w:styleId="Annotationsubject">
    <w:name w:val="annotation subject"/>
    <w:basedOn w:val="Annotationtext"/>
    <w:next w:val="Annotationtext"/>
    <w:link w:val="AssuntodocomentrioChar"/>
    <w:semiHidden/>
    <w:unhideWhenUsed/>
    <w:qFormat/>
    <w:rsid w:val="0015519e"/>
    <w:pPr/>
    <w:rPr>
      <w:b/>
      <w:bCs/>
    </w:rPr>
  </w:style>
  <w:style w:type="paragraph" w:styleId="CabealhoeRodap">
    <w:name w:val="Cabeçalho e Rodapé"/>
    <w:basedOn w:val="Normal"/>
    <w:qFormat/>
    <w:pPr/>
    <w:rPr/>
  </w:style>
  <w:style w:type="paragraph" w:styleId="Cabealho">
    <w:name w:val="Header"/>
    <w:basedOn w:val="Normal"/>
    <w:link w:val="CabealhoChar"/>
    <w:unhideWhenUsed/>
    <w:rsid w:val="00db64ef"/>
    <w:pPr>
      <w:tabs>
        <w:tab w:val="clear" w:pos="720"/>
        <w:tab w:val="center" w:pos="4252" w:leader="none"/>
        <w:tab w:val="right" w:pos="8504" w:leader="none"/>
      </w:tabs>
    </w:pPr>
    <w:rPr/>
  </w:style>
  <w:style w:type="paragraph" w:styleId="Rodap">
    <w:name w:val="Footer"/>
    <w:basedOn w:val="Normal"/>
    <w:link w:val="RodapChar"/>
    <w:uiPriority w:val="99"/>
    <w:unhideWhenUsed/>
    <w:rsid w:val="00db64ef"/>
    <w:pPr>
      <w:tabs>
        <w:tab w:val="clear" w:pos="720"/>
        <w:tab w:val="center" w:pos="4252" w:leader="none"/>
        <w:tab w:val="right" w:pos="8504" w:leader="none"/>
      </w:tabs>
    </w:pPr>
    <w:rPr/>
  </w:style>
  <w:style w:type="paragraph" w:styleId="Nivel1" w:customStyle="1">
    <w:name w:val="Nivel1"/>
    <w:basedOn w:val="Ttulo1"/>
    <w:link w:val="Nivel1Char"/>
    <w:qFormat/>
    <w:rsid w:val="000d390a"/>
    <w:pPr>
      <w:spacing w:lineRule="auto" w:line="276" w:before="480" w:after="0"/>
      <w:jc w:val="both"/>
      <w:outlineLvl w:val="9"/>
    </w:pPr>
    <w:rPr>
      <w:rFonts w:ascii="Arial" w:hAnsi="Arial" w:cs="Times New Roman"/>
      <w:b/>
      <w:color w:val="000000"/>
      <w:sz w:val="20"/>
      <w:szCs w:val="20"/>
    </w:rPr>
  </w:style>
  <w:style w:type="paragraph" w:styleId="Revision">
    <w:name w:val="Revision"/>
    <w:uiPriority w:val="99"/>
    <w:semiHidden/>
    <w:qFormat/>
    <w:rsid w:val="00656f07"/>
    <w:pPr>
      <w:widowControl/>
      <w:suppressAutoHyphens w:val="true"/>
      <w:bidi w:val="0"/>
      <w:spacing w:before="0" w:after="0"/>
      <w:jc w:val="left"/>
    </w:pPr>
    <w:rPr>
      <w:rFonts w:ascii="Arial" w:hAnsi="Arial" w:eastAsia="Times New Roman" w:cs="Tahoma"/>
      <w:color w:val="auto"/>
      <w:kern w:val="0"/>
      <w:sz w:val="20"/>
      <w:szCs w:val="24"/>
      <w:lang w:val="pt-BR" w:eastAsia="pt-BR" w:bidi="ar-SA"/>
    </w:rPr>
  </w:style>
  <w:style w:type="paragraph" w:styleId="PargrafodaLista1" w:customStyle="1">
    <w:name w:val="Parágrafo da Lista1"/>
    <w:basedOn w:val="Normal"/>
    <w:qFormat/>
    <w:rsid w:val="00b222ee"/>
    <w:pPr>
      <w:ind w:left="720" w:hanging="0"/>
    </w:pPr>
    <w:rPr>
      <w:rFonts w:ascii="Ecofont_Spranq_eco_Sans" w:hAnsi="Ecofont_Spranq_eco_Sans" w:cs="Ecofont_Spranq_eco_Sans"/>
      <w:sz w:val="24"/>
    </w:rPr>
  </w:style>
  <w:style w:type="paragraph" w:styleId="Citao1" w:customStyle="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cs="Ecofont_Spranq_eco_Sans"/>
      <w:i/>
      <w:iCs/>
      <w:color w:val="000000"/>
      <w:sz w:val="24"/>
      <w:shd w:fill="FFFFCC" w:val="clear"/>
      <w:lang w:eastAsia="en-US"/>
    </w:rPr>
  </w:style>
  <w:style w:type="paragraph" w:styleId="SombreamentoMdio1nfase31" w:customStyle="1">
    <w:name w:val="Sombreamento Médio 1 - Ênfase 31"/>
    <w:basedOn w:val="Normal"/>
    <w:next w:val="Normal"/>
    <w:qFormat/>
    <w:rsid w:val="00e014b9"/>
    <w:pPr>
      <w:pBdr>
        <w:top w:val="single" w:sz="4" w:space="1" w:color="000080"/>
        <w:left w:val="single" w:sz="4" w:space="4" w:color="000080"/>
        <w:bottom w:val="single" w:sz="4" w:space="1" w:color="000080"/>
        <w:right w:val="single" w:sz="4" w:space="4" w:color="000080"/>
      </w:pBdr>
      <w:shd w:val="clear" w:color="auto" w:fill="FFFFCC"/>
      <w:suppressAutoHyphens w:val="true"/>
      <w:spacing w:before="120" w:after="0"/>
      <w:jc w:val="both"/>
    </w:pPr>
    <w:rPr>
      <w:rFonts w:ascii="Ecofont_Spranq_eco_Sans" w:hAnsi="Ecofont_Spranq_eco_Sans" w:eastAsia="Calibri"/>
      <w:i/>
      <w:iCs/>
      <w:color w:val="000000"/>
      <w:lang w:eastAsia="zh-CN"/>
    </w:rPr>
  </w:style>
  <w:style w:type="paragraph" w:styleId="Nivel01" w:customStyle="1">
    <w:name w:val="Nivel 01"/>
    <w:basedOn w:val="Ttulo1"/>
    <w:next w:val="Normal"/>
    <w:link w:val="Nivel01Char"/>
    <w:qFormat/>
    <w:rsid w:val="0085196b"/>
    <w:pPr>
      <w:spacing w:lineRule="auto" w:line="276" w:before="480" w:after="120"/>
      <w:ind w:left="360" w:right="-15" w:hanging="360"/>
      <w:jc w:val="both"/>
      <w:outlineLvl w:val="9"/>
    </w:pPr>
    <w:rPr>
      <w:rFonts w:ascii="Arial" w:hAnsi="Arial"/>
      <w:b/>
      <w:bCs/>
      <w:color w:val="000000"/>
    </w:rPr>
  </w:style>
  <w:style w:type="paragraph" w:styleId="Textojustificado" w:customStyle="1">
    <w:name w:val="texto_justificado"/>
    <w:basedOn w:val="Normal"/>
    <w:qFormat/>
    <w:rsid w:val="0085196b"/>
    <w:pPr>
      <w:spacing w:beforeAutospacing="1" w:afterAutospacing="1"/>
    </w:pPr>
    <w:rPr>
      <w:rFonts w:ascii="Times New Roman" w:hAnsi="Times New Roman" w:cs="Times New Roman"/>
      <w:sz w:val="24"/>
    </w:rPr>
  </w:style>
  <w:style w:type="paragraph" w:styleId="Nivel011" w:customStyle="1">
    <w:name w:val="Nivel_01"/>
    <w:basedOn w:val="Ttulo1"/>
    <w:qFormat/>
    <w:rsid w:val="00b75c3f"/>
    <w:pPr>
      <w:tabs>
        <w:tab w:val="clear" w:pos="720"/>
        <w:tab w:val="left" w:pos="360" w:leader="none"/>
        <w:tab w:val="left" w:pos="567" w:leader="none"/>
      </w:tabs>
      <w:jc w:val="both"/>
      <w:outlineLvl w:val="9"/>
    </w:pPr>
    <w:rPr>
      <w:rFonts w:ascii="Ecofont_Spranq_eco_Sans" w:hAnsi="Ecofont_Spranq_eco_Sans" w:cs="Times New Roman"/>
      <w:b/>
      <w:bCs/>
      <w:color w:val="auto"/>
      <w:sz w:val="20"/>
      <w:szCs w:val="20"/>
    </w:rPr>
  </w:style>
  <w:style w:type="paragraph" w:styleId="GradeColoridanfase11" w:customStyle="1">
    <w:name w:val="Grade Colorida - Ênfase 11"/>
    <w:basedOn w:val="Normal"/>
    <w:next w:val="Normal"/>
    <w:link w:val="GradeColorida-nfase1Char"/>
    <w:qFormat/>
    <w:rsid w:val="00dd3603"/>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eastAsia="Calibri" w:cs="Ecofont_Spranq_eco_Sans"/>
      <w:i/>
      <w:iCs/>
      <w:color w:val="000000"/>
      <w:lang w:val="x-none"/>
    </w:rPr>
  </w:style>
  <w:style w:type="paragraph" w:styleId="PargrafodaLista2" w:customStyle="1">
    <w:name w:val="Parágrafo da Lista2"/>
    <w:basedOn w:val="Normal"/>
    <w:qFormat/>
    <w:rsid w:val="001c3ab6"/>
    <w:pPr>
      <w:ind w:left="720" w:hanging="0"/>
    </w:pPr>
    <w:rPr>
      <w:rFonts w:ascii="Ecofont_Spranq_eco_Sans" w:hAnsi="Ecofont_Spranq_eco_Sans"/>
      <w:sz w:val="24"/>
    </w:rPr>
  </w:style>
  <w:style w:type="paragraph" w:styleId="GradeColoridanfase110" w:customStyle="1">
    <w:name w:val="Grade Colorida - Ênfase 110"/>
    <w:basedOn w:val="Normal"/>
    <w:next w:val="Normal"/>
    <w:qFormat/>
    <w:rsid w:val="006f426a"/>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i/>
      <w:color w:val="000000"/>
      <w:sz w:val="24"/>
      <w:lang w:eastAsia="en-US"/>
    </w:rPr>
  </w:style>
  <w:style w:type="paragraph" w:styleId="Nivel2" w:customStyle="1">
    <w:name w:val="Nivel 2"/>
    <w:link w:val="Nivel2Char"/>
    <w:qFormat/>
    <w:rsid w:val="00d7051d"/>
    <w:pPr>
      <w:widowControl/>
      <w:numPr>
        <w:ilvl w:val="0"/>
        <w:numId w:val="2"/>
      </w:numPr>
      <w:suppressAutoHyphens w:val="true"/>
      <w:bidi w:val="0"/>
      <w:spacing w:lineRule="auto" w:line="276" w:before="120" w:after="120"/>
      <w:jc w:val="both"/>
    </w:pPr>
    <w:rPr>
      <w:rFonts w:ascii="Ecofont_Spranq_eco_Sans" w:hAnsi="Ecofont_Spranq_eco_Sans" w:eastAsia="Arial Unicode MS" w:cs="Times New Roman"/>
      <w:color w:val="auto"/>
      <w:kern w:val="0"/>
      <w:sz w:val="20"/>
      <w:szCs w:val="20"/>
      <w:lang w:val="pt-BR" w:eastAsia="pt-BR" w:bidi="ar-SA"/>
    </w:rPr>
  </w:style>
  <w:style w:type="paragraph" w:styleId="Nivel11" w:customStyle="1">
    <w:name w:val="Nivel 1"/>
    <w:basedOn w:val="Nivel2"/>
    <w:next w:val="Nivel2"/>
    <w:qFormat/>
    <w:rsid w:val="00d7051d"/>
    <w:pPr>
      <w:tabs>
        <w:tab w:val="clear" w:pos="720"/>
        <w:tab w:val="left" w:pos="360" w:leader="none"/>
      </w:tabs>
      <w:ind w:left="644" w:hanging="432"/>
    </w:pPr>
    <w:rPr>
      <w:rFonts w:cs="Arial"/>
      <w:b/>
    </w:rPr>
  </w:style>
  <w:style w:type="paragraph" w:styleId="Nivel3" w:customStyle="1">
    <w:name w:val="Nivel 3"/>
    <w:basedOn w:val="Nivel2"/>
    <w:qFormat/>
    <w:rsid w:val="00d7051d"/>
    <w:pPr>
      <w:tabs>
        <w:tab w:val="clear" w:pos="720"/>
        <w:tab w:val="left" w:pos="360" w:leader="none"/>
      </w:tabs>
      <w:ind w:left="1922" w:hanging="0"/>
    </w:pPr>
    <w:rPr>
      <w:rFonts w:cs="Arial"/>
      <w:color w:val="000000"/>
    </w:rPr>
  </w:style>
  <w:style w:type="paragraph" w:styleId="Nivel4" w:customStyle="1">
    <w:name w:val="Nivel 4"/>
    <w:basedOn w:val="Nivel3"/>
    <w:qFormat/>
    <w:rsid w:val="00d7051d"/>
    <w:pPr>
      <w:ind w:left="2491" w:hanging="0"/>
    </w:pPr>
    <w:rPr>
      <w:color w:val="auto"/>
    </w:rPr>
  </w:style>
  <w:style w:type="paragraph" w:styleId="Nivel5" w:customStyle="1">
    <w:name w:val="Nivel 5"/>
    <w:basedOn w:val="Nivel4"/>
    <w:qFormat/>
    <w:rsid w:val="00d7051d"/>
    <w:pPr>
      <w:ind w:left="3485" w:hanging="0"/>
    </w:pPr>
    <w:rPr/>
  </w:style>
  <w:style w:type="paragraph" w:styleId="Standard">
    <w:name w:val="Standard"/>
    <w:qFormat/>
    <w:pPr>
      <w:widowControl w:val="false"/>
      <w:suppressAutoHyphens w:val="true"/>
      <w:bidi w:val="0"/>
      <w:spacing w:before="0" w:after="0"/>
      <w:jc w:val="left"/>
      <w:textAlignment w:val="baseline"/>
    </w:pPr>
    <w:rPr>
      <w:rFonts w:ascii="Liberation Serif;Times New Roman" w:hAnsi="Liberation Serif;Times New Roman" w:eastAsia="SimSun;宋体" w:cs="Mangal;Courier New"/>
      <w:color w:val="00000A"/>
      <w:kern w:val="2"/>
      <w:sz w:val="24"/>
      <w:szCs w:val="24"/>
      <w:lang w:val="pt-BR" w:eastAsia="zh-CN" w:bidi="hi-IN"/>
    </w:rPr>
  </w:style>
  <w:style w:type="paragraph" w:styleId="Contedodatabela">
    <w:name w:val="Conteúdo da tabela"/>
    <w:basedOn w:val="Standard"/>
    <w:qFormat/>
    <w:pPr>
      <w:suppressLineNumbers/>
    </w:pPr>
    <w:rPr/>
  </w:style>
  <w:style w:type="paragraph" w:styleId="Ttulodetabela">
    <w:name w:val="Título de tabela"/>
    <w:basedOn w:val="Contedodatabela"/>
    <w:qFormat/>
    <w:pPr>
      <w:suppressLineNumbers/>
      <w:jc w:val="center"/>
    </w:pPr>
    <w:rPr>
      <w:b/>
      <w:bCs/>
    </w:rPr>
  </w:style>
  <w:style w:type="paragraph" w:styleId="Default">
    <w:name w:val="Default"/>
    <w:qFormat/>
    <w:pPr>
      <w:widowControl/>
      <w:suppressAutoHyphens w:val="true"/>
      <w:bidi w:val="0"/>
      <w:spacing w:before="0" w:after="0"/>
      <w:jc w:val="left"/>
    </w:pPr>
    <w:rPr>
      <w:rFonts w:ascii="Arial" w:hAnsi="Arial" w:eastAsia="Times New Roman" w:cs="Times New Roman"/>
      <w:color w:val="000000"/>
      <w:kern w:val="0"/>
      <w:sz w:val="24"/>
      <w:szCs w:val="20"/>
      <w:lang w:val="pt-BR" w:eastAsia="pt-BR" w:bidi="ar-SA"/>
    </w:rPr>
  </w:style>
  <w:style w:type="paragraph" w:styleId="Textoprformatado">
    <w:name w:val="Texto préformatado"/>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85196b"/>
    <w:rPr>
      <w:rFonts w:eastAsiaTheme="minorEastAsia"/>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dap@ifsertao-pe.edu.br"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Relationship Id="rId16" Type="http://schemas.openxmlformats.org/officeDocument/2006/relationships/customXml" Target="../customXml/item4.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8ADB0D-A5E9-4395-8653-7EC3719C29BD}">
  <ds:schemaRefs>
    <ds:schemaRef ds:uri="http://schemas.openxmlformats.org/officeDocument/2006/bibliography"/>
  </ds:schemaRefs>
</ds:datastoreItem>
</file>

<file path=customXml/itemProps2.xml><?xml version="1.0" encoding="utf-8"?>
<ds:datastoreItem xmlns:ds="http://schemas.openxmlformats.org/officeDocument/2006/customXml" ds:itemID="{555A26F6-7F40-4494-B91A-4F9AE8968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ED5EA-B1F6-495E-8F62-059CE9401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50AF8D-FA7F-4421-83F2-1DEE7390E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1028</TotalTime>
  <Application>LibreOffice/7.2.5.2$Windows_X86_64 LibreOffice_project/499f9727c189e6ef3471021d6132d4c694f357e5</Application>
  <AppVersion>15.0000</AppVersion>
  <Pages>20</Pages>
  <Words>6835</Words>
  <Characters>38943</Characters>
  <CharactersWithSpaces>45415</CharactersWithSpaces>
  <Paragraphs>387</Paragraphs>
  <Company>EDUARDO DOTTI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2022-08-09T13:44:00Z</dcterms:created>
  <dc:creator>Adriano</dc:creator>
  <dc:description/>
  <dc:language>pt-BR</dc:language>
  <cp:lastModifiedBy/>
  <cp:lastPrinted>2017-09-20T11:39:00Z</cp:lastPrinted>
  <dcterms:modified xsi:type="dcterms:W3CDTF">2023-03-09T14:39:36Z</dcterms:modified>
  <cp:revision>134</cp:revision>
  <dc:subject/>
  <dc:title>NOTAS EXPLICATIVAS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