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ascii="Arial-BoldMT" w:hAnsi="Arial-BoldMT"/>
          <w:b/>
          <w:color w:val="000000"/>
          <w:sz w:val="24"/>
        </w:rPr>
        <w:t>TERMO DE JUSTIFICATIVA DE INEXIGIBILIDADE DE LICITAÇÃO</w:t>
      </w:r>
    </w:p>
    <w:p>
      <w:pPr>
        <w:pStyle w:val="Normal"/>
        <w:spacing w:lineRule="auto" w:line="276"/>
        <w:jc w:val="left"/>
        <w:rPr>
          <w:rFonts w:ascii="Arial-BoldMT" w:hAnsi="Arial-BoldMT"/>
          <w:b/>
          <w:b/>
          <w:color w:val="000000"/>
          <w:sz w:val="24"/>
        </w:rPr>
      </w:pPr>
      <w:r>
        <w:rPr>
          <w:rFonts w:ascii="Arial-BoldMT" w:hAnsi="Arial-BoldMT"/>
          <w:b/>
          <w:color w:val="000000"/>
          <w:sz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Arial-BoldMT" w:hAnsi="Arial-BoldMT"/>
          <w:b/>
          <w:color w:val="000000"/>
          <w:sz w:val="24"/>
        </w:rPr>
        <w:t xml:space="preserve">FUNDAMENTAÇÃO LEGAL: </w:t>
      </w:r>
      <w:r>
        <w:rPr>
          <w:rFonts w:ascii="ArialMT" w:hAnsi="ArialMT"/>
          <w:color w:val="000000"/>
          <w:sz w:val="24"/>
        </w:rPr>
        <w:t>Art. 25,</w:t>
      </w:r>
      <w:r>
        <w:rPr>
          <w:rFonts w:ascii="Arial-ItalicMT" w:hAnsi="Arial-ItalicMT"/>
          <w:i/>
          <w:color w:val="000000"/>
          <w:sz w:val="24"/>
        </w:rPr>
        <w:t xml:space="preserve">caput, </w:t>
      </w:r>
      <w:r>
        <w:rPr>
          <w:rFonts w:ascii="ArialMT" w:hAnsi="ArialMT"/>
          <w:color w:val="000000"/>
          <w:sz w:val="24"/>
        </w:rPr>
        <w:t>Lei nº 8.666, de 21 de junho de 1993.</w:t>
      </w:r>
    </w:p>
    <w:p>
      <w:pPr>
        <w:pStyle w:val="Normal"/>
        <w:spacing w:lineRule="auto" w:line="276"/>
        <w:jc w:val="left"/>
        <w:rPr/>
      </w:pPr>
      <w:r>
        <w:rPr>
          <w:rFonts w:ascii="Arial-BoldMT" w:hAnsi="Arial-BoldMT"/>
          <w:b/>
          <w:color w:val="000000"/>
          <w:sz w:val="24"/>
        </w:rPr>
        <w:t>Processo nº 23302.000234.2021-91</w:t>
      </w:r>
    </w:p>
    <w:p>
      <w:pPr>
        <w:pStyle w:val="Normal"/>
        <w:spacing w:lineRule="auto" w:line="276"/>
        <w:jc w:val="left"/>
        <w:rPr/>
      </w:pPr>
      <w:r>
        <w:rPr>
          <w:rFonts w:ascii="Arial-BoldMT" w:hAnsi="Arial-BoldMT"/>
          <w:b/>
          <w:color w:val="000000"/>
          <w:sz w:val="24"/>
        </w:rPr>
        <w:t xml:space="preserve">Objeto: </w:t>
      </w:r>
      <w:r>
        <w:rPr>
          <w:rFonts w:ascii="ArialMT" w:hAnsi="ArialMT"/>
          <w:color w:val="000000"/>
          <w:sz w:val="24"/>
        </w:rPr>
        <w:t>Contratação dos serviços postais e malotes para a Reitoria.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color w:val="000000"/>
          <w:sz w:val="24"/>
        </w:rPr>
        <w:t>JUSTIFICATIVA DA ESCOLHA DO PROCEDIMENTO: INEXIGIBILIDADE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color w:val="000000"/>
          <w:sz w:val="24"/>
        </w:rPr>
        <w:t>Visando o cumprimento do disposto no art. 26 da Lei nº 8.666/93, apresentamos a presente justificativa ao processo para contratação da Empresa Brasileira de Correios e Telégrafos para prestação de serviços de atividades postais para coleta, transporte e entrega de documentos.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color w:val="000000"/>
          <w:sz w:val="24"/>
        </w:rPr>
        <w:t xml:space="preserve">A Reitoria do IF Sertão PE pretende contratar a Empresa Brasileira de Correios e Telégrafos - ECT para prestar os serviços postais, especificamente, </w:t>
      </w:r>
      <w:r>
        <w:rPr>
          <w:rFonts w:ascii="ArialMT" w:hAnsi="ArialMT"/>
          <w:color w:val="00000A"/>
          <w:sz w:val="24"/>
        </w:rPr>
        <w:t xml:space="preserve">Carta simples, Carta Registrada, Malote e Caixa Postal </w:t>
      </w:r>
      <w:r>
        <w:rPr>
          <w:rFonts w:ascii="ArialMT" w:hAnsi="ArialMT"/>
          <w:color w:val="000000"/>
          <w:sz w:val="24"/>
        </w:rPr>
        <w:t>com vistas ao atendimento das suas necessidades.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color w:val="000000"/>
          <w:sz w:val="24"/>
        </w:rPr>
        <w:t>A prestação dos serviços postais é constitucionalmente assegurada como monopólio da União, como abaixo transcrito: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Art. 21. Compete a União: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(...)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  <w:highlight w:val="none"/>
          <w:shd w:fill="D3D3D3" w:val="clear"/>
        </w:rPr>
      </w:pPr>
      <w:r>
        <w:rPr>
          <w:rFonts w:ascii="Arial" w:hAnsi="Arial"/>
          <w:color w:val="000000"/>
          <w:sz w:val="20"/>
          <w:szCs w:val="20"/>
          <w:shd w:fill="D3D3D3" w:val="clear"/>
        </w:rPr>
        <w:t>X- manter o serviço postal e o correio aéreo nacional.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Acerca da exclusividade na prestação dos serviços, a Lei nº 6.538/1978 e o Decreto nº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8.016/2013 preconizam: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Decreto nº 8.016/2013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Art. 4º A ECT tem por objeto social, nos termos da lei: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 - planejar, implantar e explorar o serviço postal e o serviço de telegrama;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II - explorar os serviços postais de logística integrada, financeiros e eletrônicos;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III - explorar atividades correlatas; e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IV - exercer outras atividades afins, autorizadas pelo Ministério das Comunicações.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1o A ECT terá exclusividade na exploração dos serviços de que tratam os incisos I a III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 caput do art. 9º da Lei nº 6.538, de 22 de junho de 1978, conforme inciso X do caput do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art. 21 da Constituição.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Lei nº 6.538/1978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Art. 9º São exploradas pela União, em regime de monopólio, as seguintes atividades postais: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 – recebimento, transporte e entrega, no território nacional, e a expedição, para o exterior, de carta e cartão-postal;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II – recebimento, transporte e entrega, no território nacional, e a expedição, para o exterior, de correspondência agrupada: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III – fabricação, emissão de selos e de outras fórmulas de franqueamento postal.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Tribunal Federal nos autos da ADPF nº 46 que</w:t>
      </w:r>
      <w:r>
        <w:rPr>
          <w:rFonts w:ascii="Arial" w:hAnsi="Arial"/>
          <w:b/>
          <w:sz w:val="20"/>
          <w:szCs w:val="20"/>
        </w:rPr>
        <w:t>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1.O serviço postal – conjunto de atividades que torna possível o envio de correspondência, ou objeto postal, de um remetente para endereço final e determinado – não consubstancia atividade econômica em sentido estrito. Serviço postal é serviço público.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[...]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A Constituição Federal confere à União, em caráter exclusivo, a exploração do serviço postal e o correio aéreo nacional [art. 20, inciso X).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O serviço postal é prestado pela Empresa Brasileira de Correios e Telégrafos – ECT, empresa pública, entidade da Administração Indireta da União, criada pelo decreto-lei n. 509, de 10 de março de 1969.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Tais atividades compreendem a prestação de serviços de telegrama e serviços postais exclusivos (art. 9º e art. 27), serviços postais não exclusivos e atividades correlatas, tais como o recebimento, expedição, transporte e entrega de valores e encomendas (Sedex e PAC), distribuição de impressos, periódicos (jornais e revistas), boletos bancários e faturas de água, gás, telefone e energia elétrica, venda de selos, etc., além de outras atividades afins que poderão ser prestadas, desde que autorizadas pelo Ministério das Comunicações.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Assim, reconhecido o monopólio da União na prestação dos serviços postais definidos nos artigos 9º e 27 da Lei nº 6.538/78, resta, com relação a eles, inviabilizada a competição, pressuposto fático para a configuração de hipótese de inexigibilidade de licitação. Portanto, para esses serviços é plenamente adequada a contratação direta da ECT por inexigibilidade de licitação, com fundamento no art. 25, caput, da Lei nº 8.666/93.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Com relação aos serviços não compreendidos no monopólio da ECT – aquelas não descritas no art. 9º e 27 da Lei nº 6.538/78, embora sejam exercidas por outras empresas no mercado, não constituem atividade econômica em sentido estrito, tendo sido expressamente reconhecida sua natureza pública no já citado julgamento da Suprema Corte.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Com a emissão do Parecer nº 19/2011/CGU/AGU/JCBM, aprovado pelo Advogado-Geral da União, foi reconhecida a possibilidade de todos os serviços postais prestados pela ECT que não se enquadrem na definição de carta, cartão-postal e correspondência agrupada ser objeto de contratação por dispensa de licitação, com fulcro no art. 24, VIII, da Lei nº 8.666/93.19.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Os serviços de SEDEX, por exemplo, por não ser exclusivo da ECT, ou seja, não monopolizado é recomendado, conforme entendimento no Parecer supracitado a contratação proceda mediante dispensa do procedimento licitatório, com fundamento no art. 24, inc. VIII, da Lei nº 8.666/93, que assim prevê:</w:t>
      </w:r>
    </w:p>
    <w:p>
      <w:pPr>
        <w:pStyle w:val="Normal"/>
        <w:spacing w:lineRule="auto" w:line="276"/>
        <w:ind w:left="2160" w:hanging="0"/>
        <w:jc w:val="both"/>
        <w:rPr/>
      </w:pPr>
      <w:r>
        <w:rPr>
          <w:rFonts w:ascii="ArialMT" w:hAnsi="ArialMT"/>
          <w:sz w:val="21"/>
        </w:rPr>
        <w:t>Art. 24. É dispensável a licitação:</w:t>
      </w:r>
    </w:p>
    <w:p>
      <w:pPr>
        <w:pStyle w:val="Normal"/>
        <w:spacing w:lineRule="auto" w:line="276"/>
        <w:ind w:left="2160" w:hanging="0"/>
        <w:jc w:val="both"/>
        <w:rPr/>
      </w:pPr>
      <w:r>
        <w:rPr>
          <w:rFonts w:ascii="ArialMT" w:hAnsi="ArialMT"/>
          <w:sz w:val="21"/>
        </w:rPr>
        <w:t>(…)</w:t>
      </w:r>
    </w:p>
    <w:p>
      <w:pPr>
        <w:pStyle w:val="Normal"/>
        <w:spacing w:lineRule="auto" w:line="276"/>
        <w:ind w:left="2160" w:hanging="0"/>
        <w:jc w:val="both"/>
        <w:rPr/>
      </w:pPr>
      <w:r>
        <w:rPr>
          <w:rFonts w:ascii="ArialMT" w:hAnsi="ArialMT"/>
          <w:sz w:val="21"/>
        </w:rPr>
        <w:t>VIII – 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como praticado no mercado;</w:t>
      </w:r>
    </w:p>
    <w:p>
      <w:pPr>
        <w:pStyle w:val="Normal"/>
        <w:spacing w:lineRule="auto" w:line="276"/>
        <w:jc w:val="both"/>
        <w:rPr>
          <w:rFonts w:ascii="ArialMT" w:hAnsi="ArialMT"/>
          <w:sz w:val="24"/>
        </w:rPr>
      </w:pPr>
      <w:r>
        <w:rPr>
          <w:rFonts w:ascii="ArialMT" w:hAnsi="ArialMT"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Assim, é possível concluir que para operacionalizar de forma mais célere o processo e gerenciar melhor a contratação, sem correr o risco de prejuízos para a Administração, o caminho mais viável é através da contratação direta por inexigibilidade com fundamento no art. 25, caput da Lei 8666/93 de todos os serviços, considerando os serviços exclusivos, já que estes não são ofertados por empresas concorrentes da ECT.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PRAZO DE EXECUÇÃO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O objeto será executado pelo prazo de 5(cinco) anos, sem prorrogação e  podendo haver rescisão contratual conforme Lei Federal nº 8.666/93.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PROJETO BÁSICO/TERMO DE REFERÊNCIA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 xml:space="preserve">Os art. 6º, IX c/c art. 7º, I, § 9º, e art. 12, todos da Lei nº 8.666, de 1993, determinam que as obras e serviços somente poderão ser licitados quando houver projeto básico aprovado pela autoridade competente e disponível para o exame dos interessados em participar do certame, o que é aplicável também em casos de dispensa e </w:t>
      </w:r>
      <w:r>
        <w:rPr>
          <w:rFonts w:ascii="Arial-BoldMT" w:hAnsi="Arial-BoldMT"/>
          <w:b/>
          <w:sz w:val="24"/>
        </w:rPr>
        <w:t xml:space="preserve">inexigibilidade </w:t>
      </w:r>
      <w:r>
        <w:rPr>
          <w:rFonts w:ascii="ArialMT" w:hAnsi="ArialMT"/>
          <w:sz w:val="24"/>
        </w:rPr>
        <w:t>do procedimento licitatório, nos termos do § 9º do citado art. 7º.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Conforme a IN SEGES 05/2017, arts. 28 e 29, o Projeto Básico ou Termo de Referência, deverá ser elaborado a partir dos Estudos Preliminares, do Gerenciamento de Risco e conforme as diretrizes constantes do Anexo V, devendo ser encaminhado ao setor de licitações. Devem ser utilizados os modelos de minutas padronizados de Termos de Referência e Projetos Básicos da Advocacia-Geral União, observadas as diretrizes d</w:t>
      </w:r>
      <w:r>
        <w:rPr>
          <w:rFonts w:ascii="ArialMT" w:hAnsi="ArialMT"/>
          <w:sz w:val="24"/>
          <w:shd w:fill="auto" w:val="clear"/>
        </w:rPr>
        <w:t>ispostas no Anexo V. Entretanto não ha minutas elaboradas pela AGU para contratações por</w:t>
      </w:r>
      <w:r>
        <w:rPr>
          <w:rFonts w:ascii="ArialMT" w:hAnsi="ArialMT"/>
          <w:color w:val="000000"/>
          <w:sz w:val="21"/>
          <w:shd w:fill="auto" w:val="clear"/>
        </w:rPr>
        <w:t xml:space="preserve"> </w:t>
      </w:r>
      <w:r>
        <w:rPr>
          <w:rFonts w:ascii="ArialMT" w:hAnsi="ArialMT"/>
          <w:color w:val="000000"/>
          <w:sz w:val="24"/>
          <w:shd w:fill="auto" w:val="clear"/>
        </w:rPr>
        <w:t>inexigibilidade ou dispensa de lic</w:t>
      </w:r>
      <w:r>
        <w:rPr>
          <w:rFonts w:ascii="ArialMT" w:hAnsi="ArialMT"/>
          <w:color w:val="000000"/>
          <w:sz w:val="24"/>
        </w:rPr>
        <w:t xml:space="preserve">itação que levou a administração a criar sus próprias </w:t>
      </w:r>
      <w:r>
        <w:rPr>
          <w:rFonts w:ascii="ArialMT" w:hAnsi="ArialMT"/>
          <w:sz w:val="24"/>
        </w:rPr>
        <w:t xml:space="preserve">minutas, com é o caso do termo de referência utilizado para esta contratação. No caso dos autos, o Termo de Referência consta às </w:t>
      </w:r>
      <w:r>
        <w:rPr>
          <w:rFonts w:ascii="Arial-BoldMT" w:hAnsi="Arial-BoldMT"/>
          <w:b/>
          <w:sz w:val="24"/>
        </w:rPr>
        <w:t>fls. 158 a 167-V.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PREVISÃO DE RECURSOS ORÇAMENTÁRIOS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 xml:space="preserve">No documento de </w:t>
      </w:r>
      <w:r>
        <w:rPr>
          <w:rFonts w:ascii="ArialMT" w:hAnsi="ArialMT"/>
          <w:b/>
          <w:bCs/>
          <w:sz w:val="24"/>
        </w:rPr>
        <w:t>fls.173 A 174</w:t>
      </w:r>
      <w:r>
        <w:rPr>
          <w:rFonts w:ascii="ArialMT" w:hAnsi="ArialMT"/>
          <w:sz w:val="24"/>
        </w:rPr>
        <w:t>, apresentamos a declaração de disponibilidade orçamentária e financeira, nos termos dos art. 7º, § 2º, III, art. 14, e o caput do art. 38 da Lei nº 8.666/93, bem como a do art. 16, da Lei Complementar n.º 101/2000.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REGULARIDADE FISCAL E TRABALHISTA DA CONTRATADA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Conforme entendimento majoritário, mesmo nas dispensas ou inexigibilidades de licitação, a comprovação da habilitação do contratado deve ser exigida com relação aos aspectos essenciais à regularidade da contratação (art. 55, XIII c/c arts. 27 a 33, da Lei nº 8.666/93).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No que tange à regularidade fiscal, tanto a doutrina como a jurisprudência do TCU são uníssonos no sentido de que, mesmo nos casos de contratação direta, devem ser exigidas a comprovação de regularidade junto à Fazenda e a Dívida Ativa da União, o INSS e o FGTS.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Além disso, com o advento da Lei nº 12.440, de 2011, sobreveio também a necessidade de comprovação de regularidade trabalhista, mediante a apresentação de Certidão Negativa de Débitos Trabalhistas – CNDT. Cabe ao administrador, pois, zelar pela efetiva validade dessas certidões na ocasião da contratação.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 xml:space="preserve">Pois bem, </w:t>
      </w:r>
      <w:r>
        <w:rPr>
          <w:rFonts w:ascii="ArialMT" w:hAnsi="ArialMT"/>
          <w:b/>
          <w:bCs/>
          <w:sz w:val="24"/>
        </w:rPr>
        <w:t>às fls. 178 a 183</w:t>
      </w:r>
      <w:r>
        <w:rPr>
          <w:rFonts w:ascii="ArialMT" w:hAnsi="ArialMT"/>
          <w:sz w:val="24"/>
        </w:rPr>
        <w:t xml:space="preserve"> foram juntados os documentos que comprovam a regularidade fiscal e trabalhista da contratada.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MINUTA DO TERMO DO CONTRATO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Quanto à formalização da avença, que se dará mediante Contrato de Adesão, insta considerar que, em tais ajustes, a Administração Pública não age com prerrogativas típicas de Poder Público, colocando-se na posição de qualquer outro consumidor do serviço.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Porém, cabe registrar que, especificamente no caso da ECT, foram acordadas algumas alterações no contrato de adesão padrão fornecido pela empresa, resultado da conciliação travada na Câmara de Conciliação e Arbitragem da Administração Federal – CCAF, e que originou o Termo de Conciliação CCAF/CGU/AGU nº 21/2010-APS-PBB.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No caso dos autos, a minuta contratual anexada às</w:t>
      </w:r>
      <w:r>
        <w:rPr>
          <w:rFonts w:ascii="ArialMT" w:hAnsi="ArialMT"/>
          <w:b/>
          <w:bCs/>
          <w:sz w:val="24"/>
        </w:rPr>
        <w:t xml:space="preserve"> fls.57 A 82</w:t>
      </w:r>
      <w:r>
        <w:rPr>
          <w:rFonts w:ascii="ArialMT" w:hAnsi="ArialMT"/>
          <w:sz w:val="24"/>
        </w:rPr>
        <w:t xml:space="preserve"> está adaptada às diretrizes firmadas no citado Termo, contendo as alterações específicas acordadas.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NATUREZA CONTÍNUA DOS SERVIÇOS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Quanto à natureza contínua dos serviços, colhe-se o entendimento do Tribunal de Contas da União:</w:t>
      </w:r>
    </w:p>
    <w:p>
      <w:pPr>
        <w:pStyle w:val="Normal"/>
        <w:spacing w:lineRule="auto" w:line="276"/>
        <w:ind w:left="21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"A Administração deve definir em processo próprio quais são seus serviços contínuos, pois o que é contínuo para determinado órgão ou entidade pode não ser para outros. São exemplos de serviços de natureza contínua: vigilância, limpeza e conservação, manutenção elétrica e manutenção de elevadores. O</w:t>
      </w:r>
      <w:r>
        <w:rPr>
          <w:rFonts w:ascii="Arial" w:hAnsi="Arial"/>
          <w:b/>
          <w:sz w:val="20"/>
          <w:szCs w:val="20"/>
        </w:rPr>
        <w:t xml:space="preserve"> para um determinado período e prorrogado, por iguais e sucessivos períodos, a </w:t>
      </w:r>
      <w:r>
        <w:rPr>
          <w:rFonts w:ascii="Arial" w:hAnsi="Arial"/>
          <w:sz w:val="20"/>
          <w:szCs w:val="20"/>
        </w:rPr>
        <w:t>fim de obter preços e condições mais vantajosos para a Administração, até o limite de sessenta meses ( ... ) ”.(TCU. Decisão 1098/2001 – Plenário. Dou 24/01/2002)"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Os serviços ora contratados são dotados, sem sombra de dúvidas, do caráter de continuados, na medida em que são destinados a atender necessidades públicas permanentes e cuja paralisação acarretará prejuízos ao andamento das atividades do órgão.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A Lei nº 8.666, de 1993 deu contornos distintos aos contratos em que a Administração Pública é contratante e em que é mera usuária de serviço público. Nessa hipótese, as regras pertinentes são ditadas pela contratada, nesse caso, Empresa Pública, sob regime de monopólio. Não pode aqui utilizar-se de seu poder de império. Fica, pois, sujeita às mesmas condições contratuais, previstas para o usuário comum. É nesse sentido o comando do art.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62, § 3º, da lei nº 8.666, de 1993, in verbis: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1"/>
        </w:rPr>
        <w:t>"Art.62. (...)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1"/>
        </w:rPr>
        <w:t>§ 3º Aplica-se o disposto nos arts. 55 e 58 a 61 desta Lei e demais normas gerais, no que couber: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1"/>
        </w:rPr>
        <w:t>I - aos contratos de seguro, de financiamento, de locação em que o Poder Público seja locatário, e aos demais cujo conteúdo seja regido, predominantemente, por normas de direito privado;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1"/>
        </w:rPr>
        <w:t>II - aos contratos em que a Administração for parte como usuária de serviço, público.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DA JUSTIFICATIVA DO VALOR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 xml:space="preserve">Para cumprimento do requisito da justificativa de preços, insta destacar que os serviços prestados pela ECT são cobrados mediante tarifa ou preço público, aprovados pelo Ministério das Comunicações, conforme dispõe o art. 32 da Lei nº 6.538/78. Aplicável, ainda, o art. 70, I, da Lei nº 9.069/95, que determina a fixação de tais tarifas e preços conforme os parâmetros impostos pelo Ministério da Fazenda, que, no caso específico da ECT, estão estabelecidos na Portaria MF nº 244, de 25/03/10, bem como na Portaria MF nº 61, de 16/2/2011, que traz em seu anexo os limites dos reajustes das tarifas de serviços prestados com exclusividade pela empresa. Com os preços e tarifas regulados pela Administração Pública Federal, presume-se a isonomia na cobrança de tais valores, e, por conseguinte, a adequação aos ditames da Orientação Normativa nº 17/2009, com as alterações conferidas pela Portaria AGU nº 572, de 13/12/201. Diante do exposto, entendemos desnecessária qualquer tentativa no sentido da comprovação da sua compatibilidade com os de mercado na medida em que se trata, do mesmo modo, de </w:t>
      </w:r>
      <w:r>
        <w:rPr>
          <w:rFonts w:ascii="Arial-BoldMT" w:hAnsi="Arial-BoldMT"/>
          <w:b/>
          <w:sz w:val="24"/>
        </w:rPr>
        <w:t>tarifas preestabelecidas que são cobradas de todos os usuários dos serviços</w:t>
      </w:r>
      <w:r>
        <w:rPr>
          <w:rFonts w:ascii="ArialMT" w:hAnsi="ArialMT"/>
          <w:sz w:val="24"/>
        </w:rPr>
        <w:t>. Portanto, várias exigências que deveriam constar deste procedimento de contratação direta são dispensados, em razão da própria natureza do serviço contratado, tais como o termo de contrato, tendo em vista a impossibilidade de negociação de suas cláusulas, assim como o projeto básico ou termo de referência e a cotação de preços.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Todavia justificamos o preço contratado juntando aos autos as fls. 170 A 172 a tabela dos Correios com o valor das tarifas cobradas dos serviços que eventualmente serão prestados.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Para referida contratação, o valor anual estimado locado no Planejamento da Reitoria em 2021 para as despesas do serviço é de</w:t>
      </w:r>
      <w:r>
        <w:rPr>
          <w:rFonts w:eastAsia="Calibri" w:cs="Calibri" w:ascii="ArialMT" w:hAnsi="ArialMT"/>
          <w:color w:val="auto"/>
          <w:kern w:val="0"/>
          <w:sz w:val="24"/>
          <w:szCs w:val="22"/>
          <w:lang w:val="pt-BR" w:eastAsia="pt-BR" w:bidi="ar-SA"/>
        </w:rPr>
        <w:t xml:space="preserve"> </w:t>
      </w:r>
      <w:r>
        <w:rPr>
          <w:rFonts w:eastAsia="Calibri" w:cs="Calibri" w:ascii="ArialMT" w:hAnsi="ArialMT"/>
          <w:b/>
          <w:bCs/>
          <w:color w:val="auto"/>
          <w:kern w:val="0"/>
          <w:sz w:val="24"/>
          <w:szCs w:val="22"/>
          <w:lang w:val="pt-BR" w:eastAsia="pt-BR" w:bidi="ar-SA"/>
        </w:rPr>
        <w:t>R$ 22.455,36(vinte e dois mil, quatrocentos e cinquenta e cinco reais e trinta e seis centavos)</w:t>
      </w:r>
      <w:r>
        <w:rPr>
          <w:rFonts w:eastAsia="Calibri" w:cs="Calibri" w:ascii="ArialMT" w:hAnsi="ArialMT"/>
          <w:color w:val="auto"/>
          <w:kern w:val="0"/>
          <w:sz w:val="24"/>
          <w:szCs w:val="22"/>
          <w:lang w:val="pt-BR" w:eastAsia="pt-BR" w:bidi="ar-SA"/>
        </w:rPr>
        <w:t xml:space="preserve"> anual, conforme Declaração Orçamentária anexa as fls. 174.</w:t>
      </w:r>
      <w:r>
        <w:rPr>
          <w:rFonts w:eastAsia="Calibri" w:cs="Calibri" w:ascii="ArialMT" w:hAnsi="ArialMT"/>
          <w:b/>
          <w:color w:val="auto"/>
          <w:kern w:val="0"/>
          <w:sz w:val="24"/>
          <w:szCs w:val="22"/>
          <w:lang w:val="pt-BR" w:eastAsia="pt-BR" w:bidi="ar-SA"/>
        </w:rPr>
        <w:t xml:space="preserve"> </w:t>
      </w:r>
    </w:p>
    <w:p>
      <w:pPr>
        <w:pStyle w:val="Normal"/>
        <w:spacing w:lineRule="auto" w:line="276"/>
        <w:jc w:val="both"/>
        <w:rPr>
          <w:rFonts w:ascii="Arial-BoldMT" w:hAnsi="Arial-BoldMT"/>
          <w:b/>
          <w:b/>
          <w:sz w:val="24"/>
        </w:rPr>
      </w:pPr>
      <w:r>
        <w:rPr>
          <w:rFonts w:ascii="Arial-BoldMT" w:hAnsi="Arial-BoldMT"/>
          <w:b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sz w:val="24"/>
        </w:rPr>
        <w:t>CONCLUSÃO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Considerando-se que Empresa Brasileira de Correios e Telégrafos - ECT, prestadora de serviços de atividades postais para coleta, transporte e entrega de documentos, é a única empresa pública fornecedora do referido serviço, cujo preço a ser pago é o de tabela cobrado de todos os usuários, sugerimos que a contratação seja feita por inexigibilidade de licitação com fulcro no caput do Artigo 25, da Lei 8.666/93.</w:t>
      </w:r>
    </w:p>
    <w:p>
      <w:pPr>
        <w:pStyle w:val="Normal"/>
        <w:spacing w:lineRule="auto" w:line="276"/>
        <w:jc w:val="both"/>
        <w:rPr/>
      </w:pPr>
      <w:r>
        <w:rPr>
          <w:rFonts w:ascii="ArialMT" w:hAnsi="ArialMT"/>
          <w:sz w:val="24"/>
        </w:rPr>
        <w:t>Assim sendo, atendendo de pleno o disposto no caput do art. 25, caput, da Lei nº 8.666/93, e de forma a cumprir o disposto, apresentamos a presente justificativa para análise e parecer jurídico quanto à possibilidade da execução do objeto em questão.</w:t>
      </w:r>
    </w:p>
    <w:p>
      <w:pPr>
        <w:pStyle w:val="Normal"/>
        <w:spacing w:lineRule="auto" w:line="276"/>
        <w:jc w:val="both"/>
        <w:rPr>
          <w:rFonts w:ascii="ArialMT" w:hAnsi="ArialMT"/>
          <w:sz w:val="24"/>
        </w:rPr>
      </w:pPr>
      <w:r>
        <w:rPr>
          <w:rFonts w:ascii="ArialMT" w:hAnsi="ArialMT"/>
          <w:sz w:val="24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MT" w:hAnsi="ArialMT"/>
          <w:sz w:val="24"/>
        </w:rPr>
        <w:t>Petrolina-PE, 13 de março de 2023</w:t>
      </w:r>
    </w:p>
    <w:p>
      <w:pPr>
        <w:pStyle w:val="Normal"/>
        <w:spacing w:lineRule="auto" w:line="276"/>
        <w:jc w:val="both"/>
        <w:rPr>
          <w:rFonts w:ascii="ArialMT" w:hAnsi="ArialMT"/>
          <w:sz w:val="24"/>
        </w:rPr>
      </w:pPr>
      <w:r>
        <w:rPr>
          <w:rFonts w:ascii="ArialMT" w:hAnsi="ArialMT"/>
          <w:sz w:val="24"/>
        </w:rPr>
      </w:r>
    </w:p>
    <w:p>
      <w:pPr>
        <w:pStyle w:val="Normal"/>
        <w:spacing w:lineRule="auto" w:line="276"/>
        <w:jc w:val="both"/>
        <w:rPr>
          <w:rFonts w:ascii="ArialMT" w:hAnsi="ArialMT"/>
          <w:sz w:val="24"/>
        </w:rPr>
      </w:pPr>
      <w:r>
        <w:rPr>
          <w:rFonts w:ascii="ArialMT" w:hAnsi="ArialMT"/>
          <w:sz w:val="24"/>
        </w:rPr>
      </w:r>
    </w:p>
    <w:p>
      <w:pPr>
        <w:pStyle w:val="Normal"/>
        <w:spacing w:lineRule="auto" w:line="276"/>
        <w:jc w:val="center"/>
        <w:rPr>
          <w:rFonts w:ascii="ArialMT" w:hAnsi="ArialMT"/>
          <w:b/>
          <w:b/>
          <w:sz w:val="24"/>
        </w:rPr>
      </w:pPr>
      <w:r>
        <w:rPr>
          <w:rFonts w:ascii="ArialMT" w:hAnsi="ArialMT"/>
          <w:b/>
          <w:sz w:val="24"/>
        </w:rPr>
      </w:r>
    </w:p>
    <w:p>
      <w:pPr>
        <w:pStyle w:val="Normal"/>
        <w:spacing w:lineRule="auto" w:line="276"/>
        <w:jc w:val="center"/>
        <w:rPr>
          <w:rFonts w:ascii="ArialMT" w:hAnsi="ArialMT"/>
          <w:b/>
          <w:b/>
          <w:sz w:val="24"/>
        </w:rPr>
      </w:pPr>
      <w:r>
        <w:rPr>
          <w:rFonts w:ascii="ArialMT" w:hAnsi="ArialMT"/>
          <w:b/>
          <w:sz w:val="24"/>
        </w:rPr>
      </w:r>
    </w:p>
    <w:p>
      <w:pPr>
        <w:pStyle w:val="Normal"/>
        <w:spacing w:lineRule="auto" w:line="276"/>
        <w:jc w:val="center"/>
        <w:rPr>
          <w:rFonts w:ascii="ArialMT" w:hAnsi="ArialMT"/>
          <w:b/>
          <w:b/>
          <w:sz w:val="24"/>
        </w:rPr>
      </w:pPr>
      <w:r>
        <w:rPr>
          <w:rFonts w:ascii="ArialMT" w:hAnsi="ArialMT"/>
          <w:b/>
          <w:sz w:val="24"/>
        </w:rPr>
      </w:r>
    </w:p>
    <w:p>
      <w:pPr>
        <w:pStyle w:val="Normal"/>
        <w:spacing w:lineRule="auto" w:line="276"/>
        <w:jc w:val="center"/>
        <w:rPr>
          <w:rFonts w:ascii="ArialMT" w:hAnsi="ArialMT"/>
          <w:b/>
          <w:b/>
          <w:sz w:val="24"/>
        </w:rPr>
      </w:pPr>
      <w:r>
        <w:rPr>
          <w:rFonts w:ascii="ArialMT" w:hAnsi="ArialMT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Gerson de Alencar Lima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Diretor de Licitações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</w:rPr>
      </w:pPr>
      <w:r>
        <w:rPr>
          <w:rFonts w:ascii="Arial" w:hAnsi="Arial"/>
          <w:b/>
          <w:bCs w:val="false"/>
          <w:color w:val="00000A"/>
          <w:sz w:val="22"/>
          <w:szCs w:val="22"/>
        </w:rPr>
        <w:t>IFSertãoPE/Reitoria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Arial-ItalicM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200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2562225</wp:posOffset>
          </wp:positionH>
          <wp:positionV relativeFrom="paragraph">
            <wp:posOffset>-85725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76" w:before="0" w:after="200"/>
      <w:jc w:val="center"/>
      <w:rPr>
        <w:b/>
        <w:b/>
      </w:rPr>
    </w:pPr>
    <w:r>
      <w:rPr>
        <w:b/>
      </w:rPr>
    </w:r>
  </w:p>
  <w:p>
    <w:pPr>
      <w:pStyle w:val="Normal"/>
      <w:widowControl w:val="false"/>
      <w:spacing w:lineRule="auto" w:line="288" w:before="0" w:after="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"/>
      <w:widowControl w:val="false"/>
      <w:spacing w:lineRule="auto" w:line="288" w:before="0" w:after="0"/>
      <w:jc w:val="center"/>
      <w:rPr>
        <w:color w:val="000000"/>
      </w:rPr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 xml:space="preserve">REITORIA </w:t>
    </w:r>
  </w:p>
  <w:p>
    <w:pPr>
      <w:pStyle w:val="Normal"/>
      <w:widowControl w:val="false"/>
      <w:spacing w:lineRule="auto" w:line="240" w:before="0" w:after="0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pargrafoParecerChar" w:customStyle="1">
    <w:name w:val="L_parágrafo_Parecer Char"/>
    <w:basedOn w:val="CabealhoChar"/>
    <w:link w:val="LpargrafoParecer"/>
    <w:qFormat/>
    <w:rsid w:val="00b533f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33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2c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c2cc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c2cc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2ccc"/>
    <w:rPr>
      <w:rFonts w:ascii="Segoe UI" w:hAnsi="Segoe UI" w:cs="Segoe UI"/>
      <w:sz w:val="18"/>
      <w:szCs w:val="18"/>
    </w:rPr>
  </w:style>
  <w:style w:type="character" w:styleId="LinkdaInternet">
    <w:name w:val="Link da Internet"/>
    <w:uiPriority w:val="99"/>
    <w:unhideWhenUsed/>
    <w:rsid w:val="00fe2a42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3833d5"/>
    <w:rPr/>
  </w:style>
  <w:style w:type="character" w:styleId="Eop" w:customStyle="1">
    <w:name w:val="eop"/>
    <w:basedOn w:val="DefaultParagraphFont"/>
    <w:qFormat/>
    <w:rsid w:val="003f3978"/>
    <w:rPr/>
  </w:style>
  <w:style w:type="character" w:styleId="Linkdainternetvisitado">
    <w:name w:val="Link da internet visitado"/>
    <w:basedOn w:val="DefaultParagraphFont"/>
    <w:uiPriority w:val="99"/>
    <w:semiHidden/>
    <w:unhideWhenUsed/>
    <w:rsid w:val="009d0901"/>
    <w:rPr>
      <w:color w:val="954F72" w:themeColor="followed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143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pargrafoParecer" w:customStyle="1">
    <w:name w:val="L_parágrafo_Parecer"/>
    <w:basedOn w:val="Cabealho"/>
    <w:link w:val="LpargrafoParecerChar"/>
    <w:autoRedefine/>
    <w:qFormat/>
    <w:rsid w:val="00b533f5"/>
    <w:pPr>
      <w:numPr>
        <w:ilvl w:val="0"/>
        <w:numId w:val="1"/>
      </w:numPr>
      <w:tabs>
        <w:tab w:val="clear" w:pos="4252"/>
        <w:tab w:val="clear" w:pos="8504"/>
        <w:tab w:val="left" w:pos="1418" w:leader="none"/>
      </w:tabs>
      <w:spacing w:before="0" w:after="240"/>
      <w:ind w:left="0" w:hanging="0"/>
      <w:jc w:val="both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c2c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c2c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2c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57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83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80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LONormal" w:customStyle="1">
    <w:name w:val="LO-Normal"/>
    <w:qFormat/>
    <w:rsid w:val="005e4e8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0"/>
      <w:sz w:val="24"/>
      <w:szCs w:val="24"/>
      <w:lang w:val="pt-BR" w:eastAsia="zh-CN" w:bidi="hi-IN"/>
    </w:rPr>
  </w:style>
  <w:style w:type="paragraph" w:styleId="Revision">
    <w:name w:val="Revision"/>
    <w:uiPriority w:val="99"/>
    <w:semiHidden/>
    <w:qFormat/>
    <w:rsid w:val="00d331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61431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Calibri"/>
      <w:color w:val="000000"/>
      <w:kern w:val="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8VbaWDNYq0SFPO7vGAo0VeJXM7w==">AMUW2mVhpCWuYToi3h5drC/5aM96kTNQZnBjvPSHLsx8BZBymiYWY6ErMjCZDjkgMHogrlPi7fXqEQG6oWdkyXII6+c5o/Rdd/pQUSzMO1BXRsfy53/3DZg7OaQR8rD+0gd/ZA5sdtto9YkGR6NJ9hXDwJCm0fJNb0qRQ3Z9z64c8E3HOpNr+1rpZDGxMRKuoopSwmLpv6TVchV699VuW00g2l9e/A+ZNYR/DxB5YTabDJHkmQj2rSSAsI7KbJqjFD5gtIWFqbeOlMh4/1qeg2o/+G500BIeOA/nF0VxZe5P5n+wzz2/lh2+qzeq+KACcUbWdeGXsLpXrPhR0wMiHfiqoao7TRvWJBzUXgS9veR1ZjJLnIcxHp0hJUdnffZQpykSHDNFhyWgE+nFgYUjyRoh00XDU4B/CzGEpzOi7UkCdLB6uOBMZ1mslXgNnURaZdtrvCl9Y9T3yi9iFgjZ3dWmWtaMjUwSjgCkF2W2sa2pVwsvMB4ucGn3rI9jQA+/v5gl6L25xfcayTxQO6e/+0uGMUKz4Pxl3JM1CEpkzw5gAFk05sDw+vARNvRpZeELIq/Gz25RLbeJiBWRBCIqvn/fSBF5pnF613SPG0WuWfGXz4bS/zgGlOW43fgt78hrd5bZpOVBFRQgntygySeLHkuIj/RdNVjCnQro7sPkdh7888Q82Ih/559IT/13XMvJICltFRExivGl85GUsqGCnk4IvLemKMvMEul4Y349mKSLBSwbVFRJbJ6A26sb3nG5WFDfP2qttNrwFFWMJG7iEfV3UUFfM/1yuZbW327ikta2ZrhUQ80HyDR01bb15VoxG9/l7laY6dyZOJZ6QUIyCdcdACT9P7SMsY/vVCU8yYaKIqyB9Oc84rhHR5BV9xKjEZzsti9oZYC8n+u3jzah+wX8kMdTgDCShToPO0MaHIVYiwgS0RdhL6aW/NiQ6lE9ufSwqDJqtMDozlWzeq6Z440Yco4ZeQSK1yw0YpEwCY7WsorMnAa2Ir+neVC5LTZMTPOIo+7zV81b8DMTgm91vA1Dt9oNm5dpf6BRpwck11v5kouinMzcwPRdWaID4cL+o5rEPdJhxbmjNoDiClW8ZENLCRPoZosr7G0+CEveShpzVVB9oQCoTNw9p3/hGcSHImMMdTIhZJFKU1cfdLnyA/K20/L1/6ltpJ9PIHQkBmhUzxlvwmOprGh1F/E6z3C6VzdFsCWeXXWK5yfwsj/WLg5iz5KlChCYm2CcUwsZcaINH3xUNnO3AVrt3omZwQxensmVZRGey3tnNiAlD3mo4mdHoX5UUxka2/qQD5eTYlhq6wc7bxc/mvKMTfv6hIk0XrSH/7UlUn3GLiEtK/eR0WVXD0BD3Anyn6Z8xWhWRmSZM/MH/Iv8fzpJHwiAy3zeAaFdWSQ5LsOzkTNsHCu43LvSiwOeWx6/nhk+OHSzdrOHVOB5fgpkwNrXjc0z9DRSFJCEIEah2GeQWdEMh+VfnWSLICd8/V6k2jMghWMkQlhMcEkvwWegXGHy356rwJ3M016c1CTu13rCy1T9Ucicg7HK/A/aOU0UwAotKe+54xpiGDMcK+uQOBpPNS5pQ84wsEjpKOs6WzT+s4zUNEOUxBINAlad9K7xOyUWPEF38E52hr9eHEceLDTf8evP4rhGYOJqt5uKkSXmui9VUAnWDlD31CQ9pEVRsZlF7RdQj6Qg7sR7/4/DLwuYwsI77lfoQ8aREKazmnlJ6JkDcgQQajsyrNqRD/d4u5fSXWoNdP/ld6gEUXnUDi7O2WkjDzjd+pbjOJdP8pMhfyE4S4BvW5Ko4h08KE/PgMh7FKQ9rfGhJN7o/j6BvitaNX3GsWz1sSxB+Ax+GpTWHc0kzTbPeZG0a9g8VgxsIZV4WipbTzKEf73wfXb58vx59D3LzXpQfRHMoZt4jjzcVtmj7eVXfoU6eeqjt8t9EDjgSEhtgHhrtJ2+SKxzK/4youK2tpsGy+Z+UWqEY78Y+RwKaexFWBa+zSEcsuMbSqyNf3GJSpbZyeCq61Y7dsDoJh3u8yKErP+qzMjKyZPROX2b+Oscz5qFKYSVGDJ6TQo91W/HQqR5zSo1BOzTzSR5fSk+ysPZst5K81zBsspEf8VfGqDhfhKh8d62qvSobfj0NiWTRJliaTtSN9tpfTTm70QURF0emQF8FPIPEioQBpofrzTb323c1bA4S2x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LibreOffice/7.2.5.2$Windows_X86_64 LibreOffice_project/499f9727c189e6ef3471021d6132d4c694f357e5</Application>
  <AppVersion>15.0000</AppVersion>
  <Pages>7</Pages>
  <Words>2138</Words>
  <Characters>11493</Characters>
  <CharactersWithSpaces>13563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2023-03-10T17:01:00Z</dcterms:created>
  <dc:creator>Marcelia Moura</dc:creator>
  <dc:description/>
  <dc:language>pt-BR</dc:language>
  <cp:lastModifiedBy/>
  <dcterms:modified xsi:type="dcterms:W3CDTF">2023-03-13T14:59:40Z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48</vt:lpwstr>
  </property>
  <property fmtid="{D5CDD505-2E9C-101B-9397-08002B2CF9AE}" pid="3" name="AuthorIds_UIVersion_512">
    <vt:lpwstr>44</vt:lpwstr>
  </property>
  <property fmtid="{D5CDD505-2E9C-101B-9397-08002B2CF9AE}" pid="4" name="ContentTypeId">
    <vt:lpwstr>0x01010012A2765E7DFD38469B2E626874CD0041</vt:lpwstr>
  </property>
</Properties>
</file>