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style="width:454pt;height:32pt;mso-position-horizontal-relative:char;mso-position-vertical-relative:line" filled="true" fillcolor="#f1f1f1" stroked="false" type="#_x0000_t202">
            <v:fill type="solid"/>
            <v:textbox inset="0,0,0,0">
              <w:txbxContent>
                <w:p w:rsidR="00000000" w:rsidDel="00000000" w:rsidP="00000000" w:rsidRDefault="00000000" w:rsidRPr="00000000">
                  <w:pPr>
                    <w:spacing w:before="0" w:line="227" w:lineRule="exact"/>
                    <w:ind w:left="2891" w:right="2897" w:firstLine="0"/>
                    <w:jc w:val="center"/>
                    <w:rPr>
                      <w:rFonts w:ascii="Arial" w:hAnsi="Arial"/>
                      <w:b w:val="1"/>
                      <w:sz w:val="20"/>
                    </w:rPr>
                  </w:pP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</w:rPr>
                    <w:t>CERTIFICAÇÃO</w:t>
                  </w:r>
                  <w:r w:rsidDel="00000000" w:rsidR="00000000" w:rsidRPr="00000000">
                    <w:rPr>
                      <w:rFonts w:ascii="Arial" w:hAnsi="Arial"/>
                      <w:b w:val="1"/>
                      <w:spacing w:val="-10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</w:rPr>
                    <w:t>PROCESSUAL</w:t>
                  </w:r>
                </w:p>
                <w:p w:rsidR="00000000" w:rsidDel="00000000" w:rsidP="00000000" w:rsidRDefault="00000000" w:rsidRPr="00000000">
                  <w:pPr>
                    <w:spacing w:before="34"/>
                    <w:ind w:left="2892" w:right="2897" w:firstLine="0"/>
                    <w:jc w:val="center"/>
                    <w:rPr>
                      <w:rFonts w:ascii="Arial" w:hAnsi="Arial"/>
                      <w:i w:val="1"/>
                      <w:sz w:val="20"/>
                    </w:rPr>
                  </w:pP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Art.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4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14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4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da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Portaria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4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PGF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n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4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º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931/2018</w:t>
                  </w:r>
                </w:p>
              </w:txbxContent>
            </v:textbox>
            <w10:anchorlock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Ind w:w="3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500"/>
        <w:tblGridChange w:id="0">
          <w:tblGrid>
            <w:gridCol w:w="95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139" w:right="308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PROCESSUAL</w:t>
            </w:r>
          </w:p>
        </w:tc>
      </w:tr>
      <w:tr>
        <w:trPr>
          <w:cantSplit w:val="0"/>
          <w:trHeight w:val="157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6" w:right="822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Processo n. Volume (s):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 processo (s) apensado (s)? ( X )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( ) Sim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sim, identificá-lo (s):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Processo n.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Interessado (s):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do Sertão Pernambucano/IFSertãoPE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3139" w:right="311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CARACTERIZAÇÃO LICITATÓRIA</w:t>
            </w:r>
          </w:p>
        </w:tc>
      </w:tr>
      <w:tr>
        <w:trPr>
          <w:cantSplit w:val="0"/>
          <w:trHeight w:val="299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90"/>
                <w:tab w:val="left" w:leader="none" w:pos="7645"/>
              </w:tabs>
              <w:spacing w:after="0" w:before="178" w:line="240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Aquisição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há número na Solicitação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às fls.</w:t>
              <w:tab/>
              <w:t xml:space="preserve">) (SEI</w:t>
              <w:tab/>
              <w:t xml:space="preserve">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46"/>
                <w:tab w:val="left" w:leader="none" w:pos="4413"/>
                <w:tab w:val="left" w:leader="none" w:pos="5535"/>
              </w:tabs>
              <w:spacing w:after="0" w:before="35" w:line="240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(X 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nº:</w:t>
              <w:tab/>
              <w:t xml:space="preserve">( às fls.</w:t>
              <w:tab/>
              <w:t xml:space="preserve">) (SEI</w:t>
              <w:tab/>
              <w:t xml:space="preserve">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MODALIDADE: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4"/>
                <w:tab w:val="left" w:leader="none" w:pos="1406"/>
                <w:tab w:val="left" w:leader="none" w:pos="2040"/>
                <w:tab w:val="left" w:leader="none" w:pos="2329"/>
                <w:tab w:val="left" w:leader="none" w:pos="2629"/>
                <w:tab w:val="left" w:leader="none" w:pos="2917"/>
                <w:tab w:val="left" w:leader="none" w:pos="3384"/>
                <w:tab w:val="left" w:leader="none" w:pos="3962"/>
                <w:tab w:val="left" w:leader="none" w:pos="5262"/>
                <w:tab w:val="left" w:leader="none" w:pos="6750"/>
                <w:tab w:val="left" w:leader="none" w:pos="6884"/>
              </w:tabs>
              <w:spacing w:after="0" w:before="35" w:line="276" w:lineRule="auto"/>
              <w:ind w:left="96" w:right="157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Adesão SRP</w:t>
              <w:tab/>
              <w:t xml:space="preserve">(</w:t>
              <w:tab/>
              <w:t xml:space="preserve">) Aditivo</w:t>
              <w:tab/>
              <w:t xml:space="preserve">( ) Concorrência</w:t>
              <w:tab/>
              <w:t xml:space="preserve">( ) Concurso</w:t>
              <w:tab/>
              <w:t xml:space="preserve">( ) Consulta (</w:t>
              <w:tab/>
              <w:t xml:space="preserve">) Convite</w:t>
              <w:tab/>
              <w:t xml:space="preserve">( ) Leilão</w:t>
              <w:tab/>
              <w:tab/>
              <w:t xml:space="preserve">(</w:t>
              <w:tab/>
              <w:t xml:space="preserve">) Pregão</w:t>
              <w:tab/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Pregão com SRP</w:t>
              <w:tab/>
              <w:tab/>
              <w:t xml:space="preserve">( ) RDC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) Tomada de Preços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CONTRATAÇÃO DIRETA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06"/>
              </w:tabs>
              <w:spacing w:after="0" w:before="35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) Dispensa</w:t>
              <w:tab/>
              <w:t xml:space="preserve">( X ) Inexigibilidade</w:t>
            </w:r>
          </w:p>
        </w:tc>
      </w:tr>
      <w:tr>
        <w:trPr>
          <w:cantSplit w:val="0"/>
          <w:trHeight w:val="365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40"/>
                <w:tab w:val="left" w:leader="none" w:pos="2328"/>
                <w:tab w:val="left" w:leader="none" w:pos="3228"/>
                <w:tab w:val="left" w:leader="none" w:pos="4662"/>
              </w:tabs>
              <w:spacing w:after="0" w:before="35" w:line="276" w:lineRule="auto"/>
              <w:ind w:left="96" w:right="299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) Menor Preço: (</w:t>
              <w:tab/>
              <w:t xml:space="preserve">) por item</w:t>
              <w:tab/>
              <w:t xml:space="preserve">( ) por grupo</w:t>
              <w:tab/>
              <w:t xml:space="preserve">( ) por item e grupo ( ) Melhor Técnica</w:t>
              <w:tab/>
              <w:t xml:space="preserve">(</w:t>
              <w:tab/>
              <w:t xml:space="preserve">) Técnica e Preço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do objeto: contratação do ISBN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(International Standard Book Number) para as publicações editadas pelo Instituto Federal de Educação do Sertão Pernambucano.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Estimado da contratação/aquisição: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 O custo estimado da contratação é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R$ 625,00 (seiscentos e vinte e cinco reais).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94" w:lineRule="auto"/>
        <w:ind w:left="101" w:firstLine="0"/>
        <w:rPr/>
      </w:pPr>
      <w:r w:rsidDel="00000000" w:rsidR="00000000" w:rsidRPr="00000000">
        <w:rPr>
          <w:u w:val="single"/>
          <w:rtl w:val="0"/>
        </w:rPr>
        <w:t xml:space="preserve">CERTIFICO: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02" w:line="352" w:lineRule="auto"/>
        <w:ind w:left="386" w:right="374" w:firstLine="0"/>
        <w:jc w:val="both"/>
        <w:rPr>
          <w:rFonts w:ascii="Arial" w:cs="Arial" w:eastAsia="Arial" w:hAnsi="Arial"/>
          <w:b w:val="1"/>
          <w:sz w:val="20"/>
          <w:szCs w:val="20"/>
        </w:rPr>
        <w:sectPr>
          <w:headerReference r:id="rId6" w:type="default"/>
          <w:pgSz w:h="16840" w:w="11920" w:orient="portrait"/>
          <w:pgMar w:bottom="280" w:top="2500" w:left="1180" w:right="780" w:header="456" w:footer="360"/>
          <w:pgNumType w:start="1"/>
        </w:sectPr>
      </w:pPr>
      <w:r w:rsidDel="00000000" w:rsidR="00000000" w:rsidRPr="00000000">
        <w:rPr>
          <w:rFonts w:ascii="MS PGothic" w:cs="MS PGothic" w:eastAsia="MS PGothic" w:hAnsi="MS PGothic"/>
          <w:sz w:val="20"/>
          <w:szCs w:val="20"/>
          <w:rtl w:val="0"/>
        </w:rPr>
        <w:t xml:space="preserve">✔ </w:t>
      </w:r>
      <w:r w:rsidDel="00000000" w:rsidR="00000000" w:rsidRPr="00000000">
        <w:rPr>
          <w:sz w:val="20"/>
          <w:szCs w:val="20"/>
          <w:rtl w:val="0"/>
        </w:rPr>
        <w:t xml:space="preserve">Que as minutas integrantes do presente processo foram extraídas do sítio eletrônico da Advocacia-Geral da União – AGU (Modelos de Licitações e Contratos) no endereço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https://</w:t>
      </w:r>
      <w:hyperlink r:id="rId7">
        <w:r w:rsidDel="00000000" w:rsidR="00000000" w:rsidRPr="00000000">
          <w:rPr>
            <w:rFonts w:ascii="Arial" w:cs="Arial" w:eastAsia="Arial" w:hAnsi="Arial"/>
            <w:i w:val="1"/>
            <w:sz w:val="20"/>
            <w:szCs w:val="20"/>
            <w:rtl w:val="0"/>
          </w:rPr>
          <w:t xml:space="preserve">www.gov.br/agu/pt-br/composicao/cgu/cgu/modelos/licitacoesecontratos/compras-pregao-eletron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ico</w:t>
      </w:r>
      <w:r w:rsidDel="00000000" w:rsidR="00000000" w:rsidRPr="00000000">
        <w:rPr>
          <w:sz w:val="20"/>
          <w:szCs w:val="20"/>
          <w:rtl w:val="0"/>
        </w:rPr>
        <w:t xml:space="preserve">; tendo sido adotada a versão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Referência - Modelo para Pregão Eletrônico – Compras Atualização: Junho/2021.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5"/>
        </w:tabs>
        <w:spacing w:after="0" w:before="0" w:line="244" w:lineRule="auto"/>
        <w:ind w:left="38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✔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conferi tratar-se de modelos de minutas atualizados, nos termos do art. 14, da Portaria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38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PGF nº 931/2018; 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29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a instrução processual foi devidamente cotejada com as listas de verificação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(checklists)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65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disponíveis no mesmo sítio acima apontado, justificando nos autos os documentos faltantes.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ind w:left="521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DECLARO </w:t>
      </w:r>
      <w:r w:rsidDel="00000000" w:rsidR="00000000" w:rsidRPr="00000000">
        <w:rPr>
          <w:sz w:val="20"/>
          <w:szCs w:val="20"/>
          <w:rtl w:val="0"/>
        </w:rPr>
        <w:t xml:space="preserve">que: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tabs>
          <w:tab w:val="left" w:leader="none" w:pos="854"/>
        </w:tabs>
        <w:spacing w:before="1" w:line="360" w:lineRule="auto"/>
        <w:ind w:right="3636" w:firstLine="566"/>
        <w:rPr>
          <w:rFonts w:ascii="Arial MT" w:cs="Arial MT" w:eastAsia="Arial MT" w:hAnsi="Arial MT"/>
          <w:b w:val="0"/>
        </w:rPr>
      </w:pP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(</w:t>
        <w:tab/>
        <w:t xml:space="preserve">) </w:t>
      </w:r>
      <w:r w:rsidDel="00000000" w:rsidR="00000000" w:rsidRPr="00000000">
        <w:rPr>
          <w:rtl w:val="0"/>
        </w:rPr>
        <w:t xml:space="preserve">Não foram realizadas quaisquer alterações nas minutas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. ( </w:t>
      </w:r>
      <w:r w:rsidDel="00000000" w:rsidR="00000000" w:rsidRPr="00000000">
        <w:rPr>
          <w:rtl w:val="0"/>
        </w:rPr>
        <w:t xml:space="preserve">X 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) </w:t>
      </w:r>
      <w:r w:rsidDel="00000000" w:rsidR="00000000" w:rsidRPr="00000000">
        <w:rPr>
          <w:rtl w:val="0"/>
        </w:rPr>
        <w:t xml:space="preserve">Foram realizadas alterações nas minutas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.</w:t>
      </w:r>
      <w:r w:rsidDel="00000000" w:rsidR="00000000" w:rsidRPr="00000000">
        <w:pict>
          <v:shape style="position:absolute;margin-left:22.0pt;margin-top:-1.7871653543307087pt;width:465pt;height:542.5pt;mso-position-horizontal-relative:margin;mso-position-vertical-relative:text;z-index:-15811072;mso-position-horizontal:absolute;mso-position-vertical:absolute;" coordsize="9300,10850" coordorigin="1640,-16" filled="false" stroked="true" strokecolor="#000000" strokeweight="1.0pt" path="m1650,-16l1650,10824m10930,-16l10930,10824m1640,-6l10940,-6m1640,694l10940,694m1640,10834l10940,10834e">
            <v:stroke dashstyle="solid"/>
            <v:path arrowok="t"/>
            <w10:wrap type="none"/>
          </v:shape>
        </w:pic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56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 Foram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suprimidos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trechos indicados na minuta de: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99"/>
          <w:tab w:val="left" w:leader="none" w:pos="1987"/>
        </w:tabs>
        <w:spacing w:after="0" w:before="0" w:line="240" w:lineRule="auto"/>
        <w:ind w:left="56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 Edital</w:t>
        <w:tab/>
        <w:t xml:space="preserve">(</w:t>
        <w:tab/>
        <w:t xml:space="preserve">) Contrato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Termo de Referência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9"/>
        </w:tabs>
        <w:spacing w:after="0" w:before="115" w:line="240" w:lineRule="auto"/>
        <w:ind w:left="5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 Outros: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ind w:left="566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Pelos Motivos a seguir expostos (Especificar Itens Suprimidos):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ind w:firstLine="566"/>
        <w:rPr/>
      </w:pPr>
      <w:r w:rsidDel="00000000" w:rsidR="00000000" w:rsidRPr="00000000">
        <w:rPr>
          <w:color w:val="000009"/>
          <w:rtl w:val="0"/>
        </w:rPr>
        <w:t xml:space="preserve">ITENS 10, 13, 14, 15, 16,17, 18, 19, 20, 22, 23,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360" w:lineRule="auto"/>
        <w:ind w:left="566" w:right="31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Justificativa: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por ser um processo de inexigibilidade, inexistindo a possibilidade de competição de fornecedor, uma vez que a Câmara Brasileira do Livro (CBL) é Agência Brasileira do ISBN e os itens elencados se referem a contratação por licitação, estes foram suprimidos do Termo de Referência.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firstLine="566"/>
        <w:rPr/>
      </w:pPr>
      <w:r w:rsidDel="00000000" w:rsidR="00000000" w:rsidRPr="00000000">
        <w:rPr>
          <w:rtl w:val="0"/>
        </w:rPr>
        <w:t xml:space="preserve">ITEM </w:t>
      </w:r>
      <w:r w:rsidDel="00000000" w:rsidR="00000000" w:rsidRPr="00000000">
        <w:rPr>
          <w:color w:val="000009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360" w:lineRule="auto"/>
        <w:ind w:left="566" w:right="31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Justificativa: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 se tratar de um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sistema padronizado de 13 números que identifica livro segundo título, autor, país e editora, individualizando-o, inclusive, por edição, que tem sua oferta concedida, exclusivamente, pela Câmara Brasileira do Livro (CBL), a qual consiste na Agência Brasileira do ISBN, não havendo, assim, caráter competitivo da licitação ou, ainda, impertinentes ou irrelevantes para o específico objeto do contrato foram detalhadas apenas as quantidades necessárias ao IFSertãoPE no ano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ind w:firstLine="566"/>
        <w:rPr/>
      </w:pPr>
      <w:r w:rsidDel="00000000" w:rsidR="00000000" w:rsidRPr="00000000">
        <w:rPr>
          <w:color w:val="000009"/>
          <w:rtl w:val="0"/>
        </w:rPr>
        <w:t xml:space="preserve">ITEM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360" w:lineRule="auto"/>
        <w:ind w:left="566" w:right="31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Justificativa: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por ser um processo de inexigibilidade, inexistindo a possibilidade de competição de fornecedor, uma vez que a Câmara Brasileira do Livro (CBL) é Agência Brasileira do ISBN, o título “DA CLASSIFICAÇÃO DOS SERVIÇOS E FORMA DE SELEÇÃO DO FORNECEDOR” foi substituído por “DOS MÉTODOS E DA ESTRATÉGIA DE SUPRIMENTO”.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ind w:firstLine="566"/>
        <w:rPr/>
      </w:pPr>
      <w:r w:rsidDel="00000000" w:rsidR="00000000" w:rsidRPr="00000000">
        <w:rPr>
          <w:color w:val="000009"/>
          <w:rtl w:val="0"/>
        </w:rPr>
        <w:t xml:space="preserve">ITEM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360" w:lineRule="auto"/>
        <w:ind w:left="566" w:right="31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2500" w:left="1180" w:right="780" w:header="456" w:footer="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Justificativa: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por ser um processo de inexigibilidade, inexistindo a possibilidade de competição de fornecedor, uma vez que a Câmara Brasileira do Livro (CBL) é Agência Brasileira do ISBN, “REQUISITOS DA CONTRATAÇÃO” foi substituído por “DOS CUSTOS”.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style="width:464pt;height:504pt;mso-position-horizontal-relative:char;mso-position-vertical-relative:line" filled="false" stroked="true" strokecolor="#000000" strokeweight="1.0pt" type="#_x0000_t202">
            <v:stroke dashstyle="solid"/>
            <v:textbox inset="0,0,0,0">
              <w:txbxContent>
                <w:p w:rsidR="00000000" w:rsidDel="00000000" w:rsidP="00000000" w:rsidRDefault="00000000" w:rsidRPr="00000000">
                  <w:pPr>
                    <w:pStyle w:val="BodyText"/>
                    <w:rPr>
                      <w:sz w:val="31"/>
                    </w:rPr>
                  </w:pPr>
                </w:p>
                <w:p w:rsidR="00000000" w:rsidDel="00000000" w:rsidP="00000000" w:rsidRDefault="00000000" w:rsidRPr="00000000">
                  <w:pPr>
                    <w:spacing w:before="0"/>
                    <w:ind w:left="86" w:right="0" w:firstLine="0"/>
                    <w:jc w:val="left"/>
                    <w:rPr>
                      <w:rFonts w:ascii="Arial"/>
                      <w:b w:val="1"/>
                      <w:sz w:val="20"/>
                    </w:rPr>
                  </w:pPr>
                  <w:r w:rsidDel="00000000" w:rsidR="00000000" w:rsidRPr="00000000">
                    <w:rPr>
                      <w:rFonts w:ascii="Arial"/>
                      <w:b w:val="1"/>
                      <w:color w:val="000009"/>
                      <w:sz w:val="20"/>
                    </w:rPr>
                    <w:t>ITEM</w:t>
                  </w:r>
                  <w:r w:rsidDel="00000000" w:rsidR="00000000" w:rsidRPr="00000000">
                    <w:rPr>
                      <w:rFonts w:ascii="Arial"/>
                      <w:b w:val="1"/>
                      <w:color w:val="000009"/>
                      <w:spacing w:val="-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/>
                      <w:b w:val="1"/>
                      <w:color w:val="000009"/>
                      <w:sz w:val="20"/>
                    </w:rPr>
                    <w:t>6</w:t>
                  </w:r>
                </w:p>
                <w:p w:rsidR="00000000" w:rsidDel="00000000" w:rsidP="00000000" w:rsidRDefault="00000000" w:rsidRPr="00000000">
                  <w:pPr>
                    <w:pStyle w:val="BodyText"/>
                    <w:spacing w:before="115" w:line="360" w:lineRule="auto"/>
                    <w:ind w:left="86" w:right="99"/>
                    <w:jc w:val="both"/>
                  </w:pPr>
                  <w:r w:rsidDel="00000000" w:rsidR="00000000" w:rsidRPr="00000000">
                    <w:rPr>
                      <w:rFonts w:ascii="Arial" w:hAnsi="Arial"/>
                      <w:b w:val="1"/>
                      <w:color w:val="000009"/>
                    </w:rPr>
                    <w:t>Justificativa: </w:t>
                  </w:r>
                  <w:r w:rsidDel="00000000" w:rsidR="00000000" w:rsidRPr="00000000">
                    <w:rPr>
                      <w:color w:val="000009"/>
                    </w:rPr>
                    <w:t>por ser um processo de inexigibilidade, inexistindo a possibilidade de competição de</w:t>
                  </w:r>
                  <w:r w:rsidDel="00000000" w:rsidR="00000000" w:rsidRPr="00000000">
                    <w:rPr>
                      <w:color w:val="000009"/>
                      <w:spacing w:val="1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fornecedor, uma vez que a Câmara Brasileira do Livro (CBL) é Agência Brasileira do ISBN, o título</w:t>
                  </w:r>
                  <w:r w:rsidDel="00000000" w:rsidR="00000000" w:rsidRPr="00000000">
                    <w:rPr>
                      <w:color w:val="000009"/>
                      <w:spacing w:val="1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“CRITÉRIOS</w:t>
                  </w:r>
                  <w:r w:rsidDel="00000000" w:rsidR="00000000" w:rsidRPr="00000000">
                    <w:rPr>
                      <w:color w:val="000009"/>
                      <w:spacing w:val="-5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DE</w:t>
                  </w:r>
                  <w:r w:rsidDel="00000000" w:rsidR="00000000" w:rsidRPr="00000000">
                    <w:rPr>
                      <w:color w:val="000009"/>
                      <w:spacing w:val="-5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SUSTENTABILIDADE”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foi</w:t>
                  </w:r>
                  <w:r w:rsidDel="00000000" w:rsidR="00000000" w:rsidRPr="00000000">
                    <w:rPr>
                      <w:color w:val="000009"/>
                      <w:spacing w:val="-5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substituído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por</w:t>
                  </w:r>
                  <w:r w:rsidDel="00000000" w:rsidR="00000000" w:rsidRPr="00000000">
                    <w:rPr>
                      <w:color w:val="000009"/>
                      <w:spacing w:val="-5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“MODALIDADE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DE</w:t>
                  </w:r>
                  <w:r w:rsidDel="00000000" w:rsidR="00000000" w:rsidRPr="00000000">
                    <w:rPr>
                      <w:color w:val="000009"/>
                      <w:spacing w:val="-5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LICITAÇÃO”.</w:t>
                  </w:r>
                </w:p>
                <w:p w:rsidR="00000000" w:rsidDel="00000000" w:rsidP="00000000" w:rsidRDefault="00000000" w:rsidRPr="00000000">
                  <w:pPr>
                    <w:pStyle w:val="BodyText"/>
                    <w:rPr>
                      <w:sz w:val="30"/>
                    </w:rPr>
                  </w:pPr>
                </w:p>
                <w:p w:rsidR="00000000" w:rsidDel="00000000" w:rsidP="00000000" w:rsidRDefault="00000000" w:rsidRPr="00000000">
                  <w:pPr>
                    <w:spacing w:before="0"/>
                    <w:ind w:left="86" w:right="0" w:firstLine="0"/>
                    <w:jc w:val="left"/>
                    <w:rPr>
                      <w:rFonts w:ascii="Arial"/>
                      <w:b w:val="1"/>
                      <w:sz w:val="20"/>
                    </w:rPr>
                  </w:pPr>
                  <w:r w:rsidDel="00000000" w:rsidR="00000000" w:rsidRPr="00000000">
                    <w:rPr>
                      <w:rFonts w:ascii="Arial"/>
                      <w:b w:val="1"/>
                      <w:color w:val="000009"/>
                      <w:sz w:val="20"/>
                    </w:rPr>
                    <w:t>ITEM</w:t>
                  </w:r>
                  <w:r w:rsidDel="00000000" w:rsidR="00000000" w:rsidRPr="00000000">
                    <w:rPr>
                      <w:rFonts w:ascii="Arial"/>
                      <w:b w:val="1"/>
                      <w:color w:val="000009"/>
                      <w:spacing w:val="-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/>
                      <w:b w:val="1"/>
                      <w:color w:val="000009"/>
                      <w:sz w:val="20"/>
                    </w:rPr>
                    <w:t>7</w:t>
                  </w:r>
                </w:p>
                <w:p w:rsidR="00000000" w:rsidDel="00000000" w:rsidP="00000000" w:rsidRDefault="00000000" w:rsidRPr="00000000">
                  <w:pPr>
                    <w:pStyle w:val="BodyText"/>
                    <w:spacing w:before="115" w:line="360" w:lineRule="auto"/>
                    <w:ind w:left="86" w:right="100"/>
                    <w:jc w:val="both"/>
                  </w:pPr>
                  <w:r w:rsidDel="00000000" w:rsidR="00000000" w:rsidRPr="00000000">
                    <w:rPr>
                      <w:rFonts w:ascii="Arial" w:hAnsi="Arial"/>
                      <w:b w:val="1"/>
                      <w:color w:val="000009"/>
                    </w:rPr>
                    <w:t>Justificativa: </w:t>
                  </w:r>
                  <w:r w:rsidDel="00000000" w:rsidR="00000000" w:rsidRPr="00000000">
                    <w:rPr>
                      <w:color w:val="000009"/>
                    </w:rPr>
                    <w:t>tpor ser um processo de inexigibilidade, inexistindo a possibilidade de competição de</w:t>
                  </w:r>
                  <w:r w:rsidDel="00000000" w:rsidR="00000000" w:rsidRPr="00000000">
                    <w:rPr>
                      <w:color w:val="000009"/>
                      <w:spacing w:val="1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fornecedor, uma vez que a Câmara Brasileira do Livro (CBL) é Agência Brasileira do ISBN, o título</w:t>
                  </w:r>
                  <w:r w:rsidDel="00000000" w:rsidR="00000000" w:rsidRPr="00000000">
                    <w:rPr>
                      <w:color w:val="000009"/>
                      <w:spacing w:val="1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“VISTORIA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PARA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A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LICITAÇÃO”</w:t>
                  </w:r>
                  <w:r w:rsidDel="00000000" w:rsidR="00000000" w:rsidRPr="00000000">
                    <w:rPr>
                      <w:color w:val="000009"/>
                      <w:spacing w:val="49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foi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substituído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por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“CONDIÇÕES</w:t>
                  </w:r>
                  <w:r w:rsidDel="00000000" w:rsidR="00000000" w:rsidRPr="00000000">
                    <w:rPr>
                      <w:color w:val="000009"/>
                      <w:spacing w:val="-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DE</w:t>
                  </w:r>
                  <w:r w:rsidDel="00000000" w:rsidR="00000000" w:rsidRPr="00000000">
                    <w:rPr>
                      <w:color w:val="000009"/>
                      <w:spacing w:val="-3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PAGAMENTO”.</w:t>
                  </w:r>
                </w:p>
                <w:p w:rsidR="00000000" w:rsidDel="00000000" w:rsidP="00000000" w:rsidRDefault="00000000" w:rsidRPr="00000000">
                  <w:pPr>
                    <w:pStyle w:val="BodyText"/>
                    <w:rPr>
                      <w:sz w:val="30"/>
                    </w:rPr>
                  </w:pPr>
                </w:p>
                <w:p w:rsidR="00000000" w:rsidDel="00000000" w:rsidP="00000000" w:rsidRDefault="00000000" w:rsidRPr="00000000">
                  <w:pPr>
                    <w:spacing w:before="0"/>
                    <w:ind w:left="86" w:right="0" w:firstLine="0"/>
                    <w:jc w:val="left"/>
                    <w:rPr>
                      <w:rFonts w:ascii="Arial"/>
                      <w:b w:val="1"/>
                      <w:sz w:val="20"/>
                    </w:rPr>
                  </w:pPr>
                  <w:r w:rsidDel="00000000" w:rsidR="00000000" w:rsidRPr="00000000">
                    <w:rPr>
                      <w:rFonts w:ascii="Arial"/>
                      <w:b w:val="1"/>
                      <w:color w:val="000009"/>
                      <w:sz w:val="20"/>
                    </w:rPr>
                    <w:t>ITEM</w:t>
                  </w:r>
                  <w:r w:rsidDel="00000000" w:rsidR="00000000" w:rsidRPr="00000000">
                    <w:rPr>
                      <w:rFonts w:ascii="Arial"/>
                      <w:b w:val="1"/>
                      <w:color w:val="000009"/>
                      <w:spacing w:val="-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/>
                      <w:b w:val="1"/>
                      <w:color w:val="000009"/>
                      <w:sz w:val="20"/>
                    </w:rPr>
                    <w:t>8</w:t>
                  </w:r>
                </w:p>
                <w:p w:rsidR="00000000" w:rsidDel="00000000" w:rsidP="00000000" w:rsidRDefault="00000000" w:rsidRPr="00000000">
                  <w:pPr>
                    <w:pStyle w:val="BodyText"/>
                    <w:spacing w:before="115" w:line="360" w:lineRule="auto"/>
                    <w:ind w:left="86" w:right="99"/>
                    <w:jc w:val="both"/>
                  </w:pPr>
                  <w:r w:rsidDel="00000000" w:rsidR="00000000" w:rsidRPr="00000000">
                    <w:rPr>
                      <w:rFonts w:ascii="Arial" w:hAnsi="Arial"/>
                      <w:b w:val="1"/>
                      <w:color w:val="000009"/>
                    </w:rPr>
                    <w:t>Justificativa: </w:t>
                  </w:r>
                  <w:r w:rsidDel="00000000" w:rsidR="00000000" w:rsidRPr="00000000">
                    <w:rPr>
                      <w:color w:val="000009"/>
                    </w:rPr>
                    <w:t>por ser um processo de inexigibilidade, inexistindo a possibilidade de competição de</w:t>
                  </w:r>
                  <w:r w:rsidDel="00000000" w:rsidR="00000000" w:rsidRPr="00000000">
                    <w:rPr>
                      <w:color w:val="000009"/>
                      <w:spacing w:val="1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fornecedor, uma vez que a Câmara Brasileira do Livro (CBL) é Agência Brasileira do ISBN, o título</w:t>
                  </w:r>
                  <w:r w:rsidDel="00000000" w:rsidR="00000000" w:rsidRPr="00000000">
                    <w:rPr>
                      <w:color w:val="000009"/>
                      <w:spacing w:val="1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“MODELO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DE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EXECUÇÃO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DO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OBJETO”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foi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substituído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por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“DA</w:t>
                  </w:r>
                  <w:r w:rsidDel="00000000" w:rsidR="00000000" w:rsidRPr="00000000">
                    <w:rPr>
                      <w:color w:val="000009"/>
                      <w:spacing w:val="-2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VIGÊNCIA”.</w:t>
                  </w:r>
                </w:p>
                <w:p w:rsidR="00000000" w:rsidDel="00000000" w:rsidP="00000000" w:rsidRDefault="00000000" w:rsidRPr="00000000">
                  <w:pPr>
                    <w:pStyle w:val="BodyText"/>
                    <w:rPr>
                      <w:sz w:val="30"/>
                    </w:rPr>
                  </w:pPr>
                </w:p>
                <w:p w:rsidR="00000000" w:rsidDel="00000000" w:rsidP="00000000" w:rsidRDefault="00000000" w:rsidRPr="00000000">
                  <w:pPr>
                    <w:spacing w:before="0"/>
                    <w:ind w:left="86" w:right="0" w:firstLine="0"/>
                    <w:jc w:val="left"/>
                    <w:rPr>
                      <w:rFonts w:ascii="Arial"/>
                      <w:b w:val="1"/>
                      <w:sz w:val="20"/>
                    </w:rPr>
                  </w:pPr>
                  <w:r w:rsidDel="00000000" w:rsidR="00000000" w:rsidRPr="00000000">
                    <w:rPr>
                      <w:rFonts w:ascii="Arial"/>
                      <w:b w:val="1"/>
                      <w:color w:val="000009"/>
                      <w:sz w:val="20"/>
                    </w:rPr>
                    <w:t>ITEM</w:t>
                  </w:r>
                  <w:r w:rsidDel="00000000" w:rsidR="00000000" w:rsidRPr="00000000">
                    <w:rPr>
                      <w:rFonts w:ascii="Arial"/>
                      <w:b w:val="1"/>
                      <w:color w:val="000009"/>
                      <w:spacing w:val="-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/>
                      <w:b w:val="1"/>
                      <w:color w:val="000009"/>
                      <w:sz w:val="20"/>
                    </w:rPr>
                    <w:t>9</w:t>
                  </w:r>
                </w:p>
                <w:p w:rsidR="00000000" w:rsidDel="00000000" w:rsidP="00000000" w:rsidRDefault="00000000" w:rsidRPr="00000000">
                  <w:pPr>
                    <w:pStyle w:val="BodyText"/>
                    <w:spacing w:before="115" w:line="360" w:lineRule="auto"/>
                    <w:ind w:left="86" w:right="99"/>
                    <w:jc w:val="both"/>
                  </w:pPr>
                  <w:r w:rsidDel="00000000" w:rsidR="00000000" w:rsidRPr="00000000">
                    <w:rPr>
                      <w:rFonts w:ascii="Arial" w:hAnsi="Arial"/>
                      <w:b w:val="1"/>
                      <w:color w:val="000009"/>
                    </w:rPr>
                    <w:t>Justificativa: </w:t>
                  </w:r>
                  <w:r w:rsidDel="00000000" w:rsidR="00000000" w:rsidRPr="00000000">
                    <w:rPr>
                      <w:color w:val="000009"/>
                    </w:rPr>
                    <w:t>por ser um processo de inexigibilidade, inexistindo a possibilidade de competição de</w:t>
                  </w:r>
                  <w:r w:rsidDel="00000000" w:rsidR="00000000" w:rsidRPr="00000000">
                    <w:rPr>
                      <w:color w:val="000009"/>
                      <w:spacing w:val="1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fornecedor, uma vez que a Câmara Brasileira do Livro (CBL) é Agência Brasileira do ISBN, o título</w:t>
                  </w:r>
                  <w:r w:rsidDel="00000000" w:rsidR="00000000" w:rsidRPr="00000000">
                    <w:rPr>
                      <w:color w:val="000009"/>
                      <w:spacing w:val="1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MATERIAIS</w:t>
                  </w:r>
                  <w:r w:rsidDel="00000000" w:rsidR="00000000" w:rsidRPr="00000000">
                    <w:rPr>
                      <w:color w:val="000009"/>
                      <w:spacing w:val="-7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A</w:t>
                  </w:r>
                  <w:r w:rsidDel="00000000" w:rsidR="00000000" w:rsidRPr="00000000">
                    <w:rPr>
                      <w:color w:val="000009"/>
                      <w:spacing w:val="-6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SEREM</w:t>
                  </w:r>
                  <w:r w:rsidDel="00000000" w:rsidR="00000000" w:rsidRPr="00000000">
                    <w:rPr>
                      <w:color w:val="000009"/>
                      <w:spacing w:val="-7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DISPONIBILIZADOS</w:t>
                  </w:r>
                  <w:r w:rsidDel="00000000" w:rsidR="00000000" w:rsidRPr="00000000">
                    <w:rPr>
                      <w:color w:val="000009"/>
                      <w:spacing w:val="4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foi</w:t>
                  </w:r>
                  <w:r w:rsidDel="00000000" w:rsidR="00000000" w:rsidRPr="00000000">
                    <w:rPr>
                      <w:color w:val="000009"/>
                      <w:spacing w:val="-7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substituído</w:t>
                  </w:r>
                  <w:r w:rsidDel="00000000" w:rsidR="00000000" w:rsidRPr="00000000">
                    <w:rPr>
                      <w:color w:val="000009"/>
                      <w:spacing w:val="-6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por</w:t>
                  </w:r>
                  <w:r w:rsidDel="00000000" w:rsidR="00000000" w:rsidRPr="00000000">
                    <w:rPr>
                      <w:color w:val="000009"/>
                      <w:spacing w:val="44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“DA</w:t>
                  </w:r>
                  <w:r w:rsidDel="00000000" w:rsidR="00000000" w:rsidRPr="00000000">
                    <w:rPr>
                      <w:color w:val="000009"/>
                      <w:spacing w:val="-7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DOTAÇÃO</w:t>
                  </w:r>
                  <w:r w:rsidDel="00000000" w:rsidR="00000000" w:rsidRPr="00000000">
                    <w:rPr>
                      <w:color w:val="000009"/>
                      <w:spacing w:val="-6"/>
                    </w:rPr>
                    <w:t> </w:t>
                  </w:r>
                  <w:r w:rsidDel="00000000" w:rsidR="00000000" w:rsidRPr="00000000">
                    <w:rPr>
                      <w:color w:val="000009"/>
                    </w:rPr>
                    <w:t>ORÇAMENTÁRIA”</w:t>
                  </w:r>
                </w:p>
                <w:p w:rsidR="00000000" w:rsidDel="00000000" w:rsidP="00000000" w:rsidRDefault="00000000" w:rsidRPr="00000000">
                  <w:pPr>
                    <w:pStyle w:val="BodyText"/>
                    <w:rPr>
                      <w:sz w:val="22"/>
                    </w:rPr>
                  </w:pPr>
                </w:p>
                <w:p w:rsidR="00000000" w:rsidDel="00000000" w:rsidP="00000000" w:rsidRDefault="00000000" w:rsidRPr="00000000">
                  <w:pPr>
                    <w:pStyle w:val="BodyText"/>
                    <w:rPr>
                      <w:sz w:val="22"/>
                    </w:rPr>
                  </w:pPr>
                </w:p>
                <w:p w:rsidR="00000000" w:rsidDel="00000000" w:rsidP="00000000" w:rsidRDefault="00000000" w:rsidRPr="00000000">
                  <w:pPr>
                    <w:pStyle w:val="BodyText"/>
                    <w:rPr>
                      <w:sz w:val="22"/>
                    </w:rPr>
                  </w:pPr>
                </w:p>
                <w:p w:rsidR="00000000" w:rsidDel="00000000" w:rsidP="00000000" w:rsidRDefault="00000000" w:rsidRPr="00000000">
                  <w:pPr>
                    <w:pStyle w:val="BodyText"/>
                    <w:rPr>
                      <w:sz w:val="24"/>
                    </w:rPr>
                  </w:pPr>
                </w:p>
                <w:p w:rsidR="00000000" w:rsidDel="00000000" w:rsidP="00000000" w:rsidRDefault="00000000" w:rsidRPr="00000000">
                  <w:pPr>
                    <w:spacing w:before="0"/>
                    <w:ind w:left="80" w:right="0" w:firstLine="0"/>
                    <w:jc w:val="left"/>
                    <w:rPr>
                      <w:rFonts w:ascii="Arial" w:hAnsi="Arial"/>
                      <w:b w:val="1"/>
                      <w:sz w:val="20"/>
                    </w:rPr>
                  </w:pPr>
                  <w:r w:rsidDel="00000000" w:rsidR="00000000" w:rsidRPr="00000000">
                    <w:rPr>
                      <w:rFonts w:ascii="Times New Roman" w:hAnsi="Times New Roman"/>
                      <w:spacing w:val="11"/>
                      <w:sz w:val="20"/>
                      <w:u w:val="thick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  <w:u w:val="thick"/>
                    </w:rPr>
                    <w:t>Foi</w:t>
                  </w:r>
                  <w:r w:rsidDel="00000000" w:rsidR="00000000" w:rsidRPr="00000000">
                    <w:rPr>
                      <w:rFonts w:ascii="Arial" w:hAnsi="Arial"/>
                      <w:b w:val="1"/>
                      <w:spacing w:val="-6"/>
                      <w:sz w:val="20"/>
                      <w:u w:val="thick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  <w:u w:val="thick"/>
                    </w:rPr>
                    <w:t>Incluída</w:t>
                  </w:r>
                  <w:r w:rsidDel="00000000" w:rsidR="00000000" w:rsidRPr="00000000">
                    <w:rPr>
                      <w:rFonts w:ascii="Arial" w:hAnsi="Arial"/>
                      <w:b w:val="1"/>
                      <w:spacing w:val="-6"/>
                      <w:sz w:val="20"/>
                      <w:u w:val="thick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  <w:u w:val="thick"/>
                    </w:rPr>
                    <w:t>Cláusula</w:t>
                  </w:r>
                  <w:r w:rsidDel="00000000" w:rsidR="00000000" w:rsidRPr="00000000">
                    <w:rPr>
                      <w:rFonts w:ascii="Arial" w:hAnsi="Arial"/>
                      <w:b w:val="1"/>
                      <w:spacing w:val="-5"/>
                      <w:sz w:val="20"/>
                      <w:u w:val="thick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  <w:u w:val="thick"/>
                    </w:rPr>
                    <w:t>Específica</w:t>
                  </w:r>
                  <w:r w:rsidDel="00000000" w:rsidR="00000000" w:rsidRPr="00000000">
                    <w:rPr>
                      <w:rFonts w:ascii="Arial" w:hAnsi="Arial"/>
                      <w:b w:val="1"/>
                      <w:spacing w:val="-6"/>
                      <w:sz w:val="20"/>
                      <w:u w:val="thick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  <w:u w:val="thick"/>
                    </w:rPr>
                    <w:t>na</w:t>
                  </w:r>
                  <w:r w:rsidDel="00000000" w:rsidR="00000000" w:rsidRPr="00000000">
                    <w:rPr>
                      <w:rFonts w:ascii="Arial" w:hAnsi="Arial"/>
                      <w:b w:val="1"/>
                      <w:spacing w:val="-5"/>
                      <w:sz w:val="20"/>
                      <w:u w:val="thick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  <w:u w:val="thick"/>
                    </w:rPr>
                    <w:t>Minuta</w:t>
                  </w:r>
                  <w:r w:rsidDel="00000000" w:rsidR="00000000" w:rsidRPr="00000000">
                    <w:rPr>
                      <w:rFonts w:ascii="Arial" w:hAnsi="Arial"/>
                      <w:b w:val="1"/>
                      <w:spacing w:val="-6"/>
                      <w:sz w:val="20"/>
                      <w:u w:val="thick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b w:val="1"/>
                      <w:sz w:val="20"/>
                      <w:u w:val="thick"/>
                    </w:rPr>
                    <w:t>de: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leader="none" w:pos="374"/>
                      <w:tab w:val="left" w:leader="none" w:pos="1274"/>
                      <w:tab w:val="left" w:leader="none" w:pos="1563"/>
                      <w:tab w:val="left" w:leader="none" w:pos="4879"/>
                    </w:tabs>
                    <w:spacing w:before="35" w:line="276" w:lineRule="auto"/>
                    <w:ind w:left="86" w:right="4368" w:firstLine="0"/>
                    <w:jc w:val="left"/>
                    <w:rPr>
                      <w:rFonts w:ascii="Arial" w:hAnsi="Arial"/>
                      <w:i w:val="1"/>
                      <w:sz w:val="20"/>
                    </w:rPr>
                  </w:pPr>
                  <w:r w:rsidDel="00000000" w:rsidR="00000000" w:rsidRPr="00000000">
                    <w:rPr>
                      <w:sz w:val="20"/>
                    </w:rPr>
                    <w:t>(</w:t>
                    <w:tab/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)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Edital</w:t>
                    <w:tab/>
                    <w:t>(</w:t>
                    <w:tab/>
                    <w:t>)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48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Contrato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100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(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47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)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48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Termo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4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de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4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</w:rPr>
                    <w:t>Referência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-53"/>
                      <w:sz w:val="20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  <w:u w:val="thick"/>
                    </w:rPr>
                    <w:t>(</w:t>
                    <w:tab/>
                    <w:t>)</w:t>
                  </w:r>
                  <w:r w:rsidDel="00000000" w:rsidR="00000000" w:rsidRPr="00000000">
                    <w:rPr>
                      <w:rFonts w:ascii="Arial" w:hAnsi="Arial"/>
                      <w:i w:val="1"/>
                      <w:spacing w:val="48"/>
                      <w:sz w:val="20"/>
                      <w:u w:val="thick"/>
                    </w:rPr>
                    <w:t> </w:t>
                  </w:r>
                  <w:r w:rsidDel="00000000" w:rsidR="00000000" w:rsidRPr="00000000">
                    <w:rPr>
                      <w:rFonts w:ascii="Arial" w:hAnsi="Arial"/>
                      <w:i w:val="1"/>
                      <w:sz w:val="20"/>
                      <w:u w:val="thick"/>
                    </w:rPr>
                    <w:t>Outros:</w:t>
                    <w:tab/>
                    <w:tab/>
                    <w:tab/>
                  </w:r>
                </w:p>
                <w:p w:rsidR="00000000" w:rsidDel="00000000" w:rsidP="00000000" w:rsidRDefault="00000000" w:rsidRPr="00000000">
                  <w:pPr>
                    <w:pStyle w:val="BodyText"/>
                    <w:spacing w:before="11"/>
                    <w:rPr>
                      <w:rFonts w:ascii="Arial"/>
                      <w:i w:val="1"/>
                      <w:sz w:val="22"/>
                    </w:rPr>
                  </w:pPr>
                </w:p>
                <w:p w:rsidR="00000000" w:rsidDel="00000000" w:rsidP="00000000" w:rsidRDefault="00000000" w:rsidRPr="00000000">
                  <w:pPr>
                    <w:pStyle w:val="BodyText"/>
                    <w:ind w:left="86"/>
                    <w:jc w:val="both"/>
                  </w:pPr>
                  <w:r w:rsidDel="00000000" w:rsidR="00000000" w:rsidRPr="00000000">
                    <w:rPr/>
                    <w:t>Pelos</w:t>
                  </w:r>
                  <w:r w:rsidDel="00000000" w:rsidR="00000000" w:rsidRPr="00000000">
                    <w:rPr>
                      <w:spacing w:val="-8"/>
                    </w:rPr>
                    <w:t> </w:t>
                  </w:r>
                  <w:r w:rsidDel="00000000" w:rsidR="00000000" w:rsidRPr="00000000">
                    <w:rPr/>
                    <w:t>motivos</w:t>
                  </w:r>
                  <w:r w:rsidDel="00000000" w:rsidR="00000000" w:rsidRPr="00000000">
                    <w:rPr>
                      <w:spacing w:val="-8"/>
                    </w:rPr>
                    <w:t> </w:t>
                  </w:r>
                  <w:r w:rsidDel="00000000" w:rsidR="00000000" w:rsidRPr="00000000">
                    <w:rPr/>
                    <w:t>a</w:t>
                  </w:r>
                  <w:r w:rsidDel="00000000" w:rsidR="00000000" w:rsidRPr="00000000">
                    <w:rPr>
                      <w:spacing w:val="-8"/>
                    </w:rPr>
                    <w:t> </w:t>
                  </w:r>
                  <w:r w:rsidDel="00000000" w:rsidR="00000000" w:rsidRPr="00000000">
                    <w:rPr/>
                    <w:t>seguir</w:t>
                  </w:r>
                  <w:r w:rsidDel="00000000" w:rsidR="00000000" w:rsidRPr="00000000">
                    <w:rPr>
                      <w:spacing w:val="-8"/>
                    </w:rPr>
                    <w:t> </w:t>
                  </w:r>
                  <w:r w:rsidDel="00000000" w:rsidR="00000000" w:rsidRPr="00000000">
                    <w:rPr/>
                    <w:t>expostos</w:t>
                  </w:r>
                  <w:r w:rsidDel="00000000" w:rsidR="00000000" w:rsidRPr="00000000">
                    <w:rPr>
                      <w:spacing w:val="-8"/>
                    </w:rPr>
                    <w:t> </w:t>
                  </w:r>
                  <w:r w:rsidDel="00000000" w:rsidR="00000000" w:rsidRPr="00000000">
                    <w:rPr/>
                    <w:t>(especificar</w:t>
                  </w:r>
                  <w:r w:rsidDel="00000000" w:rsidR="00000000" w:rsidRPr="00000000">
                    <w:rPr>
                      <w:spacing w:val="-8"/>
                    </w:rPr>
                    <w:t> </w:t>
                  </w:r>
                  <w:r w:rsidDel="00000000" w:rsidR="00000000" w:rsidRPr="00000000">
                    <w:rPr/>
                    <w:t>cláusula):</w:t>
                  </w:r>
                </w:p>
              </w:txbxContent>
            </v:textbox>
            <w10:anchorlock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658" w:right="1506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DECLARO, ao final, possuir competência para firmar a presente certificação.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3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Petrolina-PE, 21 de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junho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2500" w:left="1180" w:right="780" w:header="456" w:footer="0"/>
        </w:sect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61.01496062992126pt;margin-top:57.031023622047236pt;width:383.6pt;height:.1pt;mso-position-horizontal-relative:margin;mso-position-vertical-relative:text;z-index:-15726592;mso-wrap-distance-left:0;mso-wrap-distance-right:0;mso-position-horizontal:absolute;mso-position-vertical:absolute;" coordsize="7672,0" coordorigin="2400,1161" filled="false" stroked="true" strokecolor="#000008" strokeweight=".63pt" path="m2400,1161l10072,1161e">
            <v:stroke dashstyle="solid"/>
            <v:path arrowok="t"/>
            <w10:wrap type="topAndBottom"/>
          </v:shape>
        </w:pic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1548257</wp:posOffset>
            </wp:positionH>
            <wp:positionV relativeFrom="paragraph">
              <wp:posOffset>110569</wp:posOffset>
            </wp:positionV>
            <wp:extent cx="2082478" cy="53721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2478" cy="53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6" w:right="1506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dos Servidores responsáveis pelo Termo de Referência</w:t>
      </w:r>
    </w:p>
    <w:sectPr>
      <w:type w:val="nextPage"/>
      <w:pgSz w:h="16840" w:w="11920" w:orient="portrait"/>
      <w:pgMar w:bottom="280" w:top="2500" w:left="1180" w:right="780" w:header="456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Arial"/>
  <w:font w:name="Georgia"/>
  <w:font w:name="Times New Roman"/>
  <w:font w:name="MS P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3551872</wp:posOffset>
          </wp:positionH>
          <wp:positionV relativeFrom="page">
            <wp:posOffset>289560</wp:posOffset>
          </wp:positionV>
          <wp:extent cx="676275" cy="7524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style="position:absolute;margin-left:146.98905511811023pt;margin-top:83.8323622047244pt;width:329.65pt;height:43.05pt;mso-position-horizontal-relative:page;mso-position-vertical-relative:page;z-index:-15811072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spacing w:before="12"/>
                  <w:ind w:left="1743" w:right="1741" w:firstLine="0"/>
                  <w:jc w:val="center"/>
                  <w:rPr>
                    <w:rFonts w:ascii="Times New Roman" w:hAnsi="Times New Roman"/>
                    <w:b w:val="1"/>
                    <w:sz w:val="18"/>
                  </w:rPr>
                </w:pP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ADVOCACIA-GERAL DA UNIÃO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1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PROCURADORIA-GERAL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12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FEDERAL</w:t>
                </w:r>
              </w:p>
              <w:p w:rsidR="00000000" w:rsidDel="00000000" w:rsidP="00000000" w:rsidRDefault="00000000" w:rsidRPr="00000000">
                <w:pPr>
                  <w:spacing w:before="0"/>
                  <w:ind w:left="0" w:right="0" w:firstLine="0"/>
                  <w:jc w:val="center"/>
                  <w:rPr>
                    <w:rFonts w:ascii="Times New Roman" w:hAnsi="Times New Roman"/>
                    <w:b w:val="1"/>
                    <w:sz w:val="18"/>
                  </w:rPr>
                </w:pP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DEPARTAMENTO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12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DE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11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CONSULTORIA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11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–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11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DEPCONSU</w:t>
                </w:r>
              </w:p>
              <w:p w:rsidR="00000000" w:rsidDel="00000000" w:rsidP="00000000" w:rsidRDefault="00000000" w:rsidRPr="00000000">
                <w:pPr>
                  <w:spacing w:before="0"/>
                  <w:ind w:left="0" w:right="0" w:firstLine="0"/>
                  <w:jc w:val="center"/>
                  <w:rPr>
                    <w:rFonts w:ascii="Times New Roman" w:hAnsi="Times New Roman"/>
                    <w:b w:val="1"/>
                    <w:sz w:val="18"/>
                  </w:rPr>
                </w:pP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EQUIPE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4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DE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4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TRABALHO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3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REMOTO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4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DE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4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LICITAÇÕES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3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E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4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CONTRATOS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3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-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pacing w:val="-4"/>
                    <w:sz w:val="18"/>
                  </w:rPr>
                  <w:t> </w:t>
                </w:r>
                <w:r w:rsidDel="00000000" w:rsidR="00000000" w:rsidRPr="00000000">
                  <w:rPr>
                    <w:rFonts w:ascii="Times New Roman" w:hAnsi="Times New Roman"/>
                    <w:b w:val="1"/>
                    <w:sz w:val="18"/>
                  </w:rPr>
                  <w:t>ETRLIC</w:t>
                </w:r>
              </w:p>
            </w:txbxContent>
          </v:textbox>
          <w10:wrap type="none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6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://www.gov.br/agu/pt-br/composicao/cgu/cgu/modelos/licitacoesecontratos/compras-pregao-eletron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