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0" w:type="dxa"/>
        <w:jc w:val="left"/>
        <w:tblInd w:w="-40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7" w:type="dxa"/>
          <w:left w:w="-15" w:type="dxa"/>
          <w:bottom w:w="57" w:type="dxa"/>
          <w:right w:w="40" w:type="dxa"/>
        </w:tblCellMar>
        <w:tblLook w:firstRow="1" w:noVBand="1" w:lastRow="0" w:firstColumn="1" w:lastColumn="0" w:noHBand="0" w:val="04a0"/>
      </w:tblPr>
      <w:tblGrid>
        <w:gridCol w:w="5081"/>
        <w:gridCol w:w="4558"/>
      </w:tblGrid>
      <w:tr>
        <w:trPr>
          <w:trHeight w:val="840" w:hRule="atLeast"/>
        </w:trPr>
        <w:tc>
          <w:tcPr>
            <w:tcW w:w="963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00FF66" w:val="clear"/>
            <w:tcMar>
              <w:left w:w="-15" w:type="dxa"/>
            </w:tcMar>
            <w:vAlign w:val="center"/>
          </w:tcPr>
          <w:p>
            <w:pPr>
              <w:pStyle w:val="Western"/>
              <w:spacing w:before="0" w:after="0"/>
              <w:ind w:left="57" w:hanging="0"/>
              <w:jc w:val="center"/>
              <w:rPr/>
            </w:pPr>
            <w:r>
              <w:rPr>
                <w:rFonts w:cs="Arial" w:ascii="Arial" w:hAnsi="Arial"/>
                <w:b/>
                <w:bCs/>
                <w:color w:val="000000"/>
                <w:sz w:val="80"/>
                <w:szCs w:val="80"/>
              </w:rPr>
              <w:t>IF – SERTÃO PE</w:t>
            </w:r>
          </w:p>
        </w:tc>
      </w:tr>
      <w:tr>
        <w:trPr/>
        <w:tc>
          <w:tcPr>
            <w:tcW w:w="963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jc w:val="center"/>
              <w:rPr/>
            </w:pPr>
            <w:r>
              <w:rPr>
                <w:rFonts w:cs="Arial" w:ascii="Arial" w:hAnsi="Arial"/>
                <w:b/>
                <w:bCs/>
                <w:color w:val="FF0000"/>
                <w:sz w:val="20"/>
                <w:szCs w:val="20"/>
              </w:rPr>
              <w:t>MINUTA</w:t>
            </w:r>
            <w:r>
              <w:rPr>
                <w:rFonts w:cs="Arial" w:ascii="Arial" w:hAnsi="Arial"/>
                <w:b/>
                <w:bCs/>
                <w:color w:val="000000"/>
                <w:sz w:val="20"/>
                <w:szCs w:val="20"/>
              </w:rPr>
              <w:t xml:space="preserve"> DE EDITAL</w:t>
            </w:r>
          </w:p>
          <w:p>
            <w:pPr>
              <w:pStyle w:val="Western"/>
              <w:spacing w:before="0" w:after="0"/>
              <w:ind w:left="57" w:hanging="0"/>
              <w:jc w:val="center"/>
              <w:rPr>
                <w:rFonts w:ascii="Arial" w:hAnsi="Arial" w:cs="Arial"/>
                <w:b/>
                <w:b/>
                <w:bCs/>
                <w:color w:val="000000"/>
                <w:sz w:val="20"/>
                <w:szCs w:val="20"/>
              </w:rPr>
            </w:pPr>
            <w:r>
              <w:rPr>
                <w:rFonts w:cs="Arial" w:ascii="Arial" w:hAnsi="Arial"/>
                <w:b/>
                <w:bCs/>
                <w:color w:val="000000"/>
                <w:sz w:val="20"/>
                <w:szCs w:val="20"/>
              </w:rPr>
              <w:t>PREGÃO ELETRÔNICO Nº 06/2020</w:t>
            </w:r>
          </w:p>
          <w:p>
            <w:pPr>
              <w:pStyle w:val="Western"/>
              <w:spacing w:before="0" w:after="0"/>
              <w:ind w:left="57" w:hanging="0"/>
              <w:jc w:val="both"/>
              <w:rPr/>
            </w:pPr>
            <w:r>
              <w:rPr/>
            </w:r>
          </w:p>
          <w:p>
            <w:pPr>
              <w:pStyle w:val="Western"/>
              <w:spacing w:before="0" w:after="0"/>
              <w:ind w:left="57" w:hanging="0"/>
              <w:jc w:val="both"/>
              <w:rPr/>
            </w:pPr>
            <w:r>
              <w:rPr>
                <w:rFonts w:cs="Arial" w:ascii="Arial" w:hAnsi="Arial"/>
                <w:color w:val="000000"/>
                <w:sz w:val="20"/>
                <w:szCs w:val="20"/>
              </w:rPr>
              <w:t xml:space="preserve">Regido pela </w:t>
            </w:r>
            <w:r>
              <w:rPr>
                <w:rFonts w:cs="Arial" w:ascii="Arial" w:hAnsi="Arial"/>
                <w:color w:val="000000"/>
                <w:sz w:val="20"/>
                <w:szCs w:val="20"/>
                <w:highlight w:val="yellow"/>
              </w:rPr>
              <w:t>Lei n. 13.979, de 6 de fevereiro de 2020</w:t>
            </w:r>
            <w:r>
              <w:rPr>
                <w:rFonts w:cs="Arial" w:ascii="Arial" w:hAnsi="Arial"/>
                <w:color w:val="000000"/>
                <w:sz w:val="20"/>
                <w:szCs w:val="20"/>
              </w:rPr>
              <w:t xml:space="preserve">, Lei nº 10.520/2002, pelo </w:t>
            </w:r>
            <w:r>
              <w:rPr>
                <w:rFonts w:cs="Arial" w:ascii="Arial" w:hAnsi="Arial"/>
                <w:color w:val="000000" w:themeColor="text1"/>
                <w:sz w:val="20"/>
                <w:szCs w:val="20"/>
              </w:rPr>
              <w:t xml:space="preserve">Decreto nº 10.024, de 20 de setembro de 2019 </w:t>
            </w:r>
            <w:r>
              <w:rPr>
                <w:rFonts w:cs="Arial" w:ascii="Arial" w:hAnsi="Arial"/>
                <w:color w:val="000000"/>
                <w:sz w:val="20"/>
                <w:szCs w:val="20"/>
              </w:rPr>
              <w:t>e, e subsidiariamente, pela Lei nº 8.666/93, com alterações, e demais normas regulamentares aplicáveis à espécie.</w:t>
            </w:r>
          </w:p>
        </w:tc>
      </w:tr>
      <w:tr>
        <w:trPr/>
        <w:tc>
          <w:tcPr>
            <w:tcW w:w="963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rmalWeb"/>
              <w:spacing w:beforeAutospacing="0" w:before="0" w:afterAutospacing="0" w:after="0"/>
              <w:ind w:left="57" w:hanging="0"/>
              <w:jc w:val="both"/>
              <w:rPr>
                <w:rFonts w:ascii="Arial" w:hAnsi="Arial" w:eastAsia="Times New Roman" w:cs="Arial"/>
              </w:rPr>
            </w:pPr>
            <w:r>
              <w:rPr>
                <w:rFonts w:cs="Arial" w:ascii="Arial" w:hAnsi="Arial"/>
                <w:b/>
                <w:bCs/>
                <w:color w:val="000000"/>
                <w:sz w:val="20"/>
                <w:szCs w:val="20"/>
              </w:rPr>
              <w:t xml:space="preserve">OBJETO: </w:t>
            </w:r>
            <w:r>
              <w:rPr>
                <w:rFonts w:eastAsia="Times New Roman" w:cs="Arial" w:ascii="Arial" w:hAnsi="Arial"/>
                <w:b/>
                <w:bCs/>
                <w:color w:val="000000"/>
                <w:sz w:val="20"/>
                <w:szCs w:val="20"/>
              </w:rPr>
              <w:t>Aquisição de insumos (materiais e equipamentos)</w:t>
            </w:r>
            <w:r>
              <w:rPr>
                <w:rFonts w:cs="Arial" w:ascii="Arial" w:hAnsi="Arial"/>
                <w:b/>
                <w:color w:val="000000"/>
                <w:sz w:val="20"/>
                <w:szCs w:val="20"/>
              </w:rPr>
              <w:t>,</w:t>
            </w:r>
            <w:r>
              <w:rPr>
                <w:rFonts w:cs="Arial" w:ascii="Arial" w:hAnsi="Arial"/>
                <w:color w:val="000000" w:themeColor="text1"/>
                <w:sz w:val="20"/>
                <w:szCs w:val="20"/>
              </w:rPr>
              <w:t xml:space="preserve"> para fins de enfrentamento </w:t>
            </w:r>
            <w:r>
              <w:rPr>
                <w:rFonts w:cs="Arial" w:ascii="Arial" w:hAnsi="Arial"/>
                <w:color w:val="000000"/>
                <w:sz w:val="20"/>
                <w:szCs w:val="20"/>
              </w:rPr>
              <w:t>da emergência de saúde pública de importância internacional decorrente do novo coronavírus, causador da COVID-19, conforme condições, quantidades e exigências estabelecidas neste Edital e seus anexos.</w:t>
            </w:r>
          </w:p>
        </w:tc>
      </w:tr>
      <w:tr>
        <w:trPr/>
        <w:tc>
          <w:tcPr>
            <w:tcW w:w="963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SESSÃO PÚBLICA</w:t>
            </w:r>
          </w:p>
        </w:tc>
      </w:tr>
      <w:tr>
        <w:trPr/>
        <w:tc>
          <w:tcPr>
            <w:tcW w:w="50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 xml:space="preserve">DATA: </w:t>
            </w:r>
          </w:p>
        </w:tc>
        <w:tc>
          <w:tcPr>
            <w:tcW w:w="455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shd w:fill="FFFF00" w:val="clear"/>
              </w:rPr>
              <w:t>XX/XX/2020</w:t>
            </w:r>
          </w:p>
        </w:tc>
      </w:tr>
      <w:tr>
        <w:trPr/>
        <w:tc>
          <w:tcPr>
            <w:tcW w:w="50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HORÁRIO:</w:t>
            </w:r>
          </w:p>
        </w:tc>
        <w:tc>
          <w:tcPr>
            <w:tcW w:w="455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color w:val="000000"/>
                <w:sz w:val="20"/>
                <w:szCs w:val="20"/>
                <w:highlight w:val="yellow"/>
              </w:rPr>
              <w:t>XX:XX (Horário de Brasília)</w:t>
            </w:r>
          </w:p>
        </w:tc>
      </w:tr>
      <w:tr>
        <w:trPr/>
        <w:tc>
          <w:tcPr>
            <w:tcW w:w="50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LOCAL:</w:t>
            </w:r>
          </w:p>
        </w:tc>
        <w:tc>
          <w:tcPr>
            <w:tcW w:w="455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color w:val="000000"/>
                <w:sz w:val="20"/>
                <w:szCs w:val="20"/>
                <w:shd w:fill="FFFFFF" w:val="clear"/>
              </w:rPr>
              <w:t>www.comprasgovernamentais.gov.br</w:t>
            </w:r>
          </w:p>
        </w:tc>
      </w:tr>
      <w:tr>
        <w:trPr/>
        <w:tc>
          <w:tcPr>
            <w:tcW w:w="50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UASG/ÓRGÃO GERENCIADOR</w:t>
            </w:r>
          </w:p>
        </w:tc>
        <w:tc>
          <w:tcPr>
            <w:tcW w:w="455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rPr/>
            </w:pPr>
            <w:r>
              <w:rPr>
                <w:rFonts w:cs="Arial" w:ascii="Arial" w:hAnsi="Arial"/>
                <w:b/>
                <w:bCs/>
                <w:color w:val="000000"/>
                <w:sz w:val="20"/>
                <w:szCs w:val="20"/>
              </w:rPr>
              <w:t>158149 / Reitoria</w:t>
            </w:r>
          </w:p>
        </w:tc>
      </w:tr>
      <w:tr>
        <w:trPr/>
        <w:tc>
          <w:tcPr>
            <w:tcW w:w="5081"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Western"/>
              <w:spacing w:before="0" w:after="0"/>
              <w:ind w:left="57" w:hanging="0"/>
              <w:jc w:val="center"/>
              <w:rPr/>
            </w:pPr>
            <w:r>
              <w:rPr>
                <w:rFonts w:cs="Arial" w:ascii="Arial" w:hAnsi="Arial"/>
                <w:b/>
                <w:bCs/>
                <w:color w:val="000000"/>
                <w:sz w:val="20"/>
                <w:szCs w:val="20"/>
              </w:rPr>
              <w:t>Pregoeiro:</w:t>
            </w:r>
          </w:p>
          <w:p>
            <w:pPr>
              <w:pStyle w:val="Western"/>
              <w:spacing w:before="0" w:after="0"/>
              <w:ind w:left="57" w:hanging="0"/>
              <w:jc w:val="center"/>
              <w:rPr/>
            </w:pPr>
            <w:r>
              <w:rPr>
                <w:rFonts w:cs="Arial" w:ascii="Arial" w:hAnsi="Arial"/>
                <w:b/>
                <w:bCs/>
                <w:color w:val="000000"/>
                <w:sz w:val="20"/>
                <w:szCs w:val="20"/>
              </w:rPr>
              <w:t>João Deryson Figueiredo Sampaio</w:t>
            </w:r>
          </w:p>
          <w:p>
            <w:pPr>
              <w:pStyle w:val="Western"/>
              <w:spacing w:before="0" w:after="0"/>
              <w:ind w:left="57" w:hanging="0"/>
              <w:jc w:val="center"/>
              <w:rPr/>
            </w:pPr>
            <w:r>
              <w:rPr>
                <w:rFonts w:cs="Arial" w:ascii="Arial" w:hAnsi="Arial"/>
                <w:b/>
                <w:bCs/>
                <w:color w:val="000000"/>
                <w:sz w:val="20"/>
                <w:szCs w:val="20"/>
              </w:rPr>
              <w:t>Portaria nº 765, de 10 de Dezembro de 2019</w:t>
            </w:r>
          </w:p>
          <w:p>
            <w:pPr>
              <w:pStyle w:val="Western"/>
              <w:spacing w:before="0" w:after="0"/>
              <w:ind w:left="57" w:hanging="0"/>
              <w:jc w:val="center"/>
              <w:rPr/>
            </w:pPr>
            <w:r>
              <w:rPr>
                <w:rFonts w:cs="Arial" w:ascii="Arial" w:hAnsi="Arial"/>
                <w:b/>
                <w:bCs/>
                <w:sz w:val="20"/>
                <w:szCs w:val="20"/>
              </w:rPr>
              <w:t>Equipe de Apoio:</w:t>
            </w:r>
          </w:p>
          <w:p>
            <w:pPr>
              <w:pStyle w:val="Western"/>
              <w:spacing w:before="0" w:after="0"/>
              <w:ind w:left="57" w:hanging="0"/>
              <w:jc w:val="center"/>
              <w:rPr/>
            </w:pPr>
            <w:r>
              <w:rPr>
                <w:rFonts w:cs="Arial" w:ascii="Arial" w:hAnsi="Arial"/>
                <w:sz w:val="20"/>
                <w:szCs w:val="20"/>
              </w:rPr>
              <w:t>Franco Pereira dos Santos</w:t>
              <w:br/>
              <w:t>Gerson de Alencar Lima</w:t>
            </w:r>
          </w:p>
          <w:p>
            <w:pPr>
              <w:pStyle w:val="Western"/>
              <w:spacing w:before="0" w:after="0"/>
              <w:ind w:left="57" w:hanging="0"/>
              <w:jc w:val="center"/>
              <w:rPr/>
            </w:pPr>
            <w:r>
              <w:rPr>
                <w:rFonts w:cs="Arial" w:ascii="Arial" w:hAnsi="Arial"/>
                <w:sz w:val="20"/>
                <w:szCs w:val="20"/>
              </w:rPr>
              <w:t>Silvanio Antônio de Carvalho</w:t>
            </w:r>
          </w:p>
          <w:p>
            <w:pPr>
              <w:pStyle w:val="Western"/>
              <w:spacing w:before="0" w:after="0"/>
              <w:ind w:left="57" w:hanging="0"/>
              <w:jc w:val="center"/>
              <w:rPr/>
            </w:pPr>
            <w:r>
              <w:rPr>
                <w:rFonts w:cs="Arial" w:ascii="Arial" w:hAnsi="Arial"/>
                <w:b/>
                <w:bCs/>
                <w:color w:val="000000"/>
                <w:sz w:val="20"/>
                <w:szCs w:val="20"/>
              </w:rPr>
              <w:t>Portaria nº 766, de 10 de Dezembro de 2019</w:t>
            </w:r>
          </w:p>
        </w:tc>
        <w:tc>
          <w:tcPr>
            <w:tcW w:w="4558"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vAlign w:val="center"/>
          </w:tcPr>
          <w:p>
            <w:pPr>
              <w:pStyle w:val="NormalWeb"/>
              <w:spacing w:beforeAutospacing="0" w:before="0" w:afterAutospacing="0" w:after="0"/>
              <w:jc w:val="both"/>
              <w:rPr/>
            </w:pPr>
            <w:r>
              <w:rPr>
                <w:rFonts w:cs="Arial" w:ascii="Arial" w:hAnsi="Arial"/>
                <w:b/>
                <w:bCs/>
                <w:color w:val="00000A"/>
                <w:sz w:val="20"/>
                <w:szCs w:val="20"/>
              </w:rPr>
              <w:t>Instituto Federal de Educação, Ciências e Tecnologia do Sertão Pernambucano – Reitoria</w:t>
            </w:r>
          </w:p>
          <w:p>
            <w:pPr>
              <w:pStyle w:val="NormalWeb"/>
              <w:spacing w:beforeAutospacing="0" w:before="0" w:afterAutospacing="0" w:after="0"/>
              <w:jc w:val="both"/>
              <w:rPr/>
            </w:pPr>
            <w:r>
              <w:rPr>
                <w:rFonts w:cs="Arial" w:ascii="Arial" w:hAnsi="Arial"/>
                <w:b/>
                <w:bCs/>
                <w:color w:val="00000A"/>
                <w:sz w:val="20"/>
                <w:szCs w:val="20"/>
              </w:rPr>
              <w:t xml:space="preserve">Endereço: </w:t>
            </w:r>
            <w:r>
              <w:rPr>
                <w:rFonts w:cs="Arial" w:ascii="Arial" w:hAnsi="Arial"/>
                <w:color w:val="00000A"/>
                <w:sz w:val="20"/>
                <w:szCs w:val="20"/>
              </w:rPr>
              <w:t xml:space="preserve">Rua Aristarco Lopes, 240, Centro, Petrolina-PE, CEP: 56.302-100. </w:t>
            </w:r>
            <w:r>
              <w:rPr>
                <w:rFonts w:cs="Arial" w:ascii="Arial" w:hAnsi="Arial"/>
                <w:b/>
                <w:bCs/>
                <w:color w:val="00000A"/>
                <w:sz w:val="20"/>
                <w:szCs w:val="20"/>
              </w:rPr>
              <w:t xml:space="preserve">Tel.: </w:t>
            </w:r>
            <w:r>
              <w:rPr>
                <w:rFonts w:cs="Arial" w:ascii="Arial" w:hAnsi="Arial"/>
                <w:color w:val="00000A"/>
                <w:sz w:val="20"/>
                <w:szCs w:val="20"/>
              </w:rPr>
              <w:t>(87) 2101-2350</w:t>
            </w:r>
          </w:p>
          <w:p>
            <w:pPr>
              <w:pStyle w:val="NormalWeb"/>
              <w:spacing w:beforeAutospacing="0" w:before="0" w:afterAutospacing="0" w:after="0"/>
              <w:jc w:val="both"/>
              <w:rPr/>
            </w:pPr>
            <w:bookmarkStart w:id="0" w:name="__DdeLink__22098_1240322061"/>
            <w:bookmarkStart w:id="1" w:name="__DdeLink__5145_16170755861"/>
            <w:bookmarkEnd w:id="0"/>
            <w:bookmarkEnd w:id="1"/>
            <w:r>
              <w:rPr>
                <w:rFonts w:cs="Arial" w:ascii="Arial" w:hAnsi="Arial"/>
                <w:b/>
                <w:bCs/>
                <w:color w:val="00000A"/>
                <w:sz w:val="20"/>
                <w:szCs w:val="20"/>
              </w:rPr>
              <w:t xml:space="preserve">E-mail: </w:t>
            </w:r>
            <w:hyperlink r:id="rId2">
              <w:r>
                <w:rPr>
                  <w:rStyle w:val="LinkdaInternet"/>
                  <w:sz w:val="22"/>
                  <w:szCs w:val="22"/>
                </w:rPr>
                <w:t>licitacoes@ifsertao-pe.edu.br</w:t>
              </w:r>
            </w:hyperlink>
          </w:p>
        </w:tc>
      </w:tr>
    </w:tbl>
    <w:p>
      <w:pPr>
        <w:pStyle w:val="Normal"/>
        <w:rPr>
          <w:rFonts w:ascii="Arial" w:hAnsi="Arial" w:cs="Arial"/>
          <w:sz w:val="20"/>
          <w:szCs w:val="20"/>
          <w:lang w:eastAsia="en-US"/>
        </w:rPr>
      </w:pPr>
      <w:r>
        <w:rPr>
          <w:rFonts w:cs="Arial" w:ascii="Arial" w:hAnsi="Arial"/>
          <w:sz w:val="20"/>
          <w:szCs w:val="20"/>
          <w:lang w:eastAsia="en-US"/>
        </w:rPr>
      </w:r>
    </w:p>
    <w:p>
      <w:pPr>
        <w:pStyle w:val="Normal"/>
        <w:rPr>
          <w:rFonts w:ascii="Arial" w:hAnsi="Arial" w:cs="Arial"/>
          <w:sz w:val="20"/>
          <w:szCs w:val="20"/>
          <w:lang w:eastAsia="en-US"/>
        </w:rPr>
      </w:pPr>
      <w:r>
        <w:rPr>
          <w:rFonts w:cs="Arial" w:ascii="Arial" w:hAnsi="Arial"/>
          <w:sz w:val="20"/>
          <w:szCs w:val="20"/>
          <w:lang w:eastAsia="en-US"/>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Western"/>
        <w:spacing w:before="0" w:after="0"/>
        <w:jc w:val="center"/>
        <w:rPr/>
      </w:pPr>
      <w:r>
        <w:rPr>
          <w:rFonts w:cs="Arial" w:ascii="Arial" w:hAnsi="Arial"/>
          <w:b/>
          <w:bCs/>
          <w:color w:val="000000"/>
          <w:sz w:val="20"/>
          <w:szCs w:val="20"/>
          <w:shd w:fill="FFFFFF" w:val="clear"/>
        </w:rPr>
        <w:t>INSTITUTO FEDERAL DE EDUCAÇÃO, CIÊNCIA E TECNOLOGIA DO SERTÃO PERNAMBUCANO</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06/2020</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w:t>
      </w:r>
      <w:r>
        <w:rPr>
          <w:rFonts w:cs="Arial" w:ascii="Arial" w:hAnsi="Arial"/>
          <w:b/>
          <w:bCs/>
          <w:lang w:eastAsia="en-US"/>
        </w:rPr>
        <w:t xml:space="preserve"> </w:t>
      </w:r>
      <w:bookmarkStart w:id="2" w:name="__DdeLink__4187_1339301059"/>
      <w:r>
        <w:rPr>
          <w:rFonts w:cs="Arial" w:ascii="Arial" w:hAnsi="Arial"/>
          <w:b/>
          <w:bCs/>
          <w:sz w:val="20"/>
          <w:szCs w:val="20"/>
          <w:lang w:eastAsia="en-US"/>
        </w:rPr>
        <w:t>23600.000420.2020-84</w:t>
      </w:r>
      <w:bookmarkEnd w:id="2"/>
      <w:r>
        <w:rPr>
          <w:rFonts w:cs="Arial" w:ascii="Arial" w:hAnsi="Arial"/>
          <w:bCs/>
          <w:color w:val="000000"/>
          <w:sz w:val="20"/>
          <w:szCs w:val="20"/>
        </w:rPr>
        <w:t>)</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Western"/>
        <w:spacing w:before="0" w:after="0"/>
        <w:jc w:val="both"/>
        <w:rPr/>
      </w:pPr>
      <w:bookmarkStart w:id="3" w:name="__DdeLink__13254_1755233246"/>
      <w:bookmarkEnd w:id="3"/>
      <w:r>
        <w:rPr>
          <w:rFonts w:cs="Arial" w:ascii="Arial" w:hAnsi="Arial"/>
          <w:color w:val="000000"/>
          <w:sz w:val="20"/>
          <w:szCs w:val="20"/>
        </w:rPr>
        <w:t>Torna-se público, para conhecimento dos interessados, que o(a)</w:t>
      </w:r>
      <w:r>
        <w:rPr>
          <w:rFonts w:cs="Arial" w:ascii="Arial" w:hAnsi="Arial"/>
          <w:b/>
          <w:bCs/>
          <w:color w:val="000000"/>
          <w:sz w:val="20"/>
          <w:szCs w:val="20"/>
        </w:rPr>
        <w:t xml:space="preserve"> </w:t>
      </w:r>
      <w:r>
        <w:rPr>
          <w:rFonts w:cs="Arial" w:ascii="Arial" w:hAnsi="Arial"/>
          <w:b/>
          <w:bCs/>
          <w:i/>
          <w:iCs/>
          <w:color w:val="000000"/>
          <w:sz w:val="20"/>
          <w:szCs w:val="20"/>
          <w:shd w:fill="FFFFFF" w:val="clear"/>
        </w:rPr>
        <w:t>INSTITUTO FEDERAL DE EDUCAÇÃO, CIÊNCIA E TECNOLOGIA DO SERTÃO PERNAMBUCANO</w:t>
      </w:r>
      <w:r>
        <w:rPr>
          <w:rFonts w:cs="Arial" w:ascii="Arial" w:hAnsi="Arial"/>
          <w:color w:val="000000"/>
          <w:sz w:val="20"/>
          <w:szCs w:val="20"/>
        </w:rPr>
        <w:t>, por meio do(a)</w:t>
      </w:r>
      <w:r>
        <w:rPr>
          <w:rFonts w:cs="Arial" w:ascii="Arial" w:hAnsi="Arial"/>
          <w:b/>
          <w:bCs/>
          <w:color w:val="000000"/>
          <w:sz w:val="20"/>
          <w:szCs w:val="20"/>
        </w:rPr>
        <w:t xml:space="preserve"> Diretoria de Licitações – DLIC</w:t>
      </w:r>
      <w:r>
        <w:rPr>
          <w:rFonts w:cs="Arial" w:ascii="Arial" w:hAnsi="Arial"/>
          <w:color w:val="000000"/>
          <w:sz w:val="20"/>
          <w:szCs w:val="20"/>
        </w:rPr>
        <w:t>, sediado(a)</w:t>
      </w:r>
      <w:r>
        <w:rPr>
          <w:rFonts w:cs="Arial" w:ascii="Arial" w:hAnsi="Arial"/>
          <w:b/>
          <w:bCs/>
          <w:color w:val="000000"/>
          <w:sz w:val="20"/>
          <w:szCs w:val="20"/>
        </w:rPr>
        <w:t xml:space="preserve"> Rua Aristarco Lopes, 240, Centro, Petrolina-PE, CEP: 56.302-100</w:t>
      </w:r>
      <w:r>
        <w:rPr>
          <w:rFonts w:cs="Arial" w:ascii="Arial" w:hAnsi="Arial"/>
          <w:color w:val="000000"/>
          <w:sz w:val="20"/>
          <w:szCs w:val="20"/>
        </w:rPr>
        <w:t xml:space="preserve">), realizará licitação,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w:t>
      </w:r>
      <w:r>
        <w:rPr>
          <w:rFonts w:cs="Arial" w:ascii="Arial" w:hAnsi="Arial"/>
          <w:bCs/>
          <w:sz w:val="20"/>
          <w:szCs w:val="20"/>
        </w:rPr>
        <w:t xml:space="preserve">julgamento </w:t>
      </w:r>
      <w:r>
        <w:rPr>
          <w:rFonts w:cs="Arial" w:ascii="Arial" w:hAnsi="Arial"/>
          <w:b/>
          <w:bCs/>
          <w:i/>
          <w:sz w:val="20"/>
          <w:szCs w:val="20"/>
        </w:rPr>
        <w:t xml:space="preserve">menor preço </w:t>
      </w:r>
      <w:r>
        <w:rPr>
          <w:rFonts w:cs="Arial" w:ascii="Arial" w:hAnsi="Arial"/>
          <w:bCs/>
          <w:i/>
          <w:iCs/>
          <w:sz w:val="20"/>
          <w:szCs w:val="20"/>
        </w:rPr>
        <w:t>por grup</w:t>
      </w:r>
      <w:r>
        <w:rPr>
          <w:rFonts w:cs="Arial" w:ascii="Arial" w:hAnsi="Arial"/>
          <w:bCs/>
          <w:i/>
          <w:iCs/>
          <w:sz w:val="20"/>
          <w:szCs w:val="20"/>
          <w:highlight w:val="yellow"/>
        </w:rPr>
        <w:t>)</w:t>
      </w:r>
      <w:r>
        <w:rPr>
          <w:rFonts w:cs="Arial" w:ascii="Arial" w:hAnsi="Arial"/>
          <w:bCs/>
          <w:sz w:val="20"/>
          <w:szCs w:val="20"/>
          <w:highlight w:val="yellow"/>
        </w:rPr>
        <w:t>,</w:t>
      </w:r>
      <w:r>
        <w:rPr>
          <w:rFonts w:cs="Arial" w:ascii="Arial" w:hAnsi="Arial"/>
          <w:sz w:val="20"/>
          <w:szCs w:val="20"/>
          <w:highlight w:val="yellow"/>
        </w:rPr>
        <w:t xml:space="preserve"> </w:t>
      </w:r>
      <w:r>
        <w:rPr>
          <w:rFonts w:cs="Arial" w:ascii="Arial" w:hAnsi="Arial"/>
          <w:color w:val="000000"/>
          <w:sz w:val="20"/>
          <w:szCs w:val="20"/>
          <w:highlight w:val="yellow"/>
        </w:rPr>
        <w:t>nos termos da Lei n. 13.979, de 6 de fevereiro de 2020</w:t>
      </w:r>
      <w:r>
        <w:rPr>
          <w:rFonts w:cs="Arial" w:ascii="Arial" w:hAnsi="Arial"/>
          <w:color w:val="000000"/>
          <w:sz w:val="20"/>
          <w:szCs w:val="20"/>
        </w:rPr>
        <w:t xml:space="preserve">,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do Decreto  nº 7.746, de 05 de junho de 2012, 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highlight w:val="yellow"/>
        </w:rPr>
      </w:pPr>
      <w:r>
        <w:rPr>
          <w:rFonts w:cs="Arial" w:ascii="Arial" w:hAnsi="Arial"/>
          <w:color w:val="000000"/>
          <w:sz w:val="20"/>
          <w:szCs w:val="20"/>
        </w:rPr>
        <w:t>Data da sessão</w:t>
      </w:r>
      <w:r>
        <w:rPr>
          <w:rFonts w:cs="Arial" w:ascii="Arial" w:hAnsi="Arial"/>
          <w:color w:val="000000"/>
          <w:sz w:val="20"/>
          <w:szCs w:val="20"/>
          <w:highlight w:val="yellow"/>
        </w:rPr>
        <w:t>: XX/XX/2020</w:t>
      </w:r>
    </w:p>
    <w:p>
      <w:pPr>
        <w:pStyle w:val="Normal"/>
        <w:spacing w:lineRule="auto" w:line="276"/>
        <w:rPr>
          <w:rFonts w:ascii="Arial" w:hAnsi="Arial" w:cs="Arial"/>
          <w:sz w:val="20"/>
          <w:szCs w:val="20"/>
        </w:rPr>
      </w:pPr>
      <w:r>
        <w:rPr>
          <w:rFonts w:cs="Arial" w:ascii="Arial" w:hAnsi="Arial"/>
          <w:color w:val="000000"/>
          <w:sz w:val="20"/>
          <w:szCs w:val="20"/>
        </w:rPr>
        <w:t xml:space="preserve">Horário: </w:t>
      </w:r>
      <w:r>
        <w:rPr>
          <w:rFonts w:cs="Arial" w:ascii="Arial" w:hAnsi="Arial"/>
          <w:color w:val="000000"/>
          <w:sz w:val="20"/>
          <w:szCs w:val="20"/>
          <w:highlight w:val="yellow"/>
        </w:rPr>
        <w:t>xx:xx horas (Horário Brasília)</w:t>
      </w:r>
    </w:p>
    <w:p>
      <w:pPr>
        <w:pStyle w:val="Normal"/>
        <w:spacing w:lineRule="auto" w:line="276"/>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w:t>
      </w:r>
      <w:r>
        <w:rPr>
          <w:rFonts w:eastAsia="Times New Roman" w:cs="Arial" w:ascii="Arial" w:hAnsi="Arial"/>
          <w:b/>
          <w:bCs/>
          <w:color w:val="000000"/>
          <w:sz w:val="20"/>
          <w:szCs w:val="20"/>
        </w:rPr>
        <w:t>Aquisição de insumos (materiais e equipamentos)</w:t>
      </w:r>
      <w:r>
        <w:rPr>
          <w:rFonts w:cs="Arial" w:ascii="Arial" w:hAnsi="Arial"/>
          <w:b/>
          <w:color w:val="000000"/>
          <w:sz w:val="20"/>
          <w:szCs w:val="20"/>
        </w:rPr>
        <w:t>,</w:t>
      </w:r>
      <w:r>
        <w:rPr>
          <w:rFonts w:cs="Arial" w:ascii="Arial" w:hAnsi="Arial"/>
          <w:color w:val="000000" w:themeColor="text1"/>
          <w:sz w:val="20"/>
          <w:szCs w:val="20"/>
        </w:rPr>
        <w:t xml:space="preserve"> </w:t>
      </w:r>
      <w:r>
        <w:rPr>
          <w:rFonts w:cs="Arial" w:ascii="Arial" w:hAnsi="Arial"/>
          <w:b/>
          <w:bCs/>
          <w:color w:val="000000" w:themeColor="text1"/>
          <w:sz w:val="20"/>
          <w:szCs w:val="20"/>
        </w:rPr>
        <w:t xml:space="preserve">para fins de enfrentamento </w:t>
      </w:r>
      <w:r>
        <w:rPr>
          <w:rFonts w:cs="Arial" w:ascii="Arial" w:hAnsi="Arial"/>
          <w:b/>
          <w:bCs/>
          <w:color w:val="000000"/>
          <w:sz w:val="20"/>
          <w:szCs w:val="20"/>
        </w:rPr>
        <w:t>da emergência de saúde pública de importância internacional decorrente do novo coronavírus, causador da COVID-19,</w:t>
      </w:r>
      <w:r>
        <w:rPr>
          <w:rFonts w:cs="Arial" w:ascii="Arial" w:hAnsi="Arial"/>
          <w:color w:val="000000"/>
          <w:sz w:val="20"/>
          <w:szCs w:val="20"/>
        </w:rPr>
        <w:t xml:space="preserve"> conforme condições, quantidades e exigências estabelecidas neste Edital e seus anexos.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t>1.2. A licitação será dividida em grupos, formados por um ou mais itens</w:t>
      </w:r>
      <w:r>
        <w:rPr>
          <w:rFonts w:cs="Arial" w:ascii="Arial" w:hAnsi="Arial"/>
          <w:b/>
          <w:sz w:val="20"/>
          <w:szCs w:val="20"/>
        </w:rPr>
        <w:t>,</w:t>
      </w:r>
      <w:r>
        <w:rPr>
          <w:rFonts w:cs="Arial" w:ascii="Arial" w:hAnsi="Arial"/>
          <w:sz w:val="20"/>
          <w:szCs w:val="20"/>
        </w:rPr>
        <w:t xml:space="preserve"> conforme tabela constante no Termo de Referência, facultando-se ao licitante a participação em quantos grupos forem de seu interesse, devendo oferecer proposta para todos os itens que o compõem.</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t>1.3</w:t>
      </w:r>
      <w:r>
        <w:rPr>
          <w:rFonts w:cs="Arial" w:ascii="Arial" w:hAnsi="Arial"/>
          <w:b/>
        </w:rPr>
        <w:t xml:space="preserve">. </w:t>
      </w:r>
      <w:r>
        <w:rPr>
          <w:rFonts w:cs="Arial" w:ascii="Arial" w:hAnsi="Arial"/>
          <w:sz w:val="20"/>
          <w:szCs w:val="20"/>
        </w:rPr>
        <w:t>O critério de julgamento adotado será o menor preço GLOBAL do grupo, observadas as exigências contidas neste Edital e seus Anexos quanto às especificações do objeto.</w:t>
      </w:r>
    </w:p>
    <w:p>
      <w:pPr>
        <w:pStyle w:val="Nivel01"/>
        <w:numPr>
          <w:ilvl w:val="0"/>
          <w:numId w:val="2"/>
        </w:numPr>
        <w:rPr/>
      </w:pPr>
      <w:r>
        <w:rPr>
          <w:rFonts w:cs="Arial" w:ascii="Arial" w:hAnsi="Arial"/>
          <w:color w:val="00000A"/>
        </w:rPr>
        <w:t>DOS RECURSOS ORÇAMENTÁRIOS</w:t>
      </w:r>
    </w:p>
    <w:p>
      <w:pPr>
        <w:pStyle w:val="Nivel01"/>
        <w:numPr>
          <w:ilvl w:val="0"/>
          <w:numId w:val="0"/>
        </w:numPr>
        <w:ind w:left="360" w:hanging="0"/>
        <w:rPr/>
      </w:pPr>
      <w:r>
        <w:rPr>
          <w:rFonts w:cs="Arial" w:ascii="Arial" w:hAnsi="Arial"/>
          <w:color w:val="00000A"/>
          <w:sz w:val="20"/>
          <w:szCs w:val="20"/>
        </w:rPr>
        <w:t xml:space="preserve">2.1 </w:t>
      </w:r>
      <w:r>
        <w:rPr>
          <w:rFonts w:cs="Arial" w:ascii="Arial" w:hAnsi="Arial"/>
          <w:sz w:val="20"/>
          <w:szCs w:val="20"/>
        </w:rPr>
        <w:t>As despesas para atender a esta licitação estão programadas em dotação orçamentária própria, prevista no orçamento da União para o exercício de 2020, na classificação abaixo:</w:t>
      </w:r>
    </w:p>
    <w:p>
      <w:pPr>
        <w:pStyle w:val="Nivel01"/>
        <w:numPr>
          <w:ilvl w:val="0"/>
          <w:numId w:val="0"/>
        </w:numPr>
        <w:spacing w:before="120" w:after="0"/>
        <w:ind w:left="1304" w:hanging="36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 </w:t>
      </w:r>
      <w:r>
        <w:rPr>
          <w:rFonts w:eastAsia="ＭＳ 明朝" w:cs="Arial" w:ascii="Arial" w:hAnsi="Arial" w:eastAsiaTheme="minorEastAsia"/>
          <w:b w:val="false"/>
          <w:bCs w:val="false"/>
          <w:color w:val="00000A"/>
        </w:rPr>
        <w:t>2.1.1 Gestão/Unidade: 26430/158149</w:t>
      </w:r>
    </w:p>
    <w:p>
      <w:pPr>
        <w:pStyle w:val="Nivel01"/>
        <w:numPr>
          <w:ilvl w:val="0"/>
          <w:numId w:val="0"/>
        </w:numPr>
        <w:spacing w:before="120" w:after="0"/>
        <w:ind w:left="1304" w:hanging="36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 </w:t>
      </w:r>
      <w:r>
        <w:rPr>
          <w:rFonts w:eastAsia="ＭＳ 明朝" w:cs="Arial" w:ascii="Arial" w:hAnsi="Arial" w:eastAsiaTheme="minorEastAsia"/>
          <w:b w:val="false"/>
          <w:bCs w:val="false"/>
          <w:color w:val="00000A"/>
        </w:rPr>
        <w:t>2.1.2 Fonte: 0100915082</w:t>
      </w:r>
    </w:p>
    <w:p>
      <w:pPr>
        <w:pStyle w:val="Nivel01"/>
        <w:numPr>
          <w:ilvl w:val="0"/>
          <w:numId w:val="0"/>
        </w:numPr>
        <w:spacing w:before="120" w:after="0"/>
        <w:ind w:left="1304" w:hanging="36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 </w:t>
      </w:r>
      <w:r>
        <w:rPr>
          <w:rFonts w:eastAsia="ＭＳ 明朝" w:cs="Arial" w:ascii="Arial" w:hAnsi="Arial" w:eastAsiaTheme="minorEastAsia"/>
          <w:b w:val="false"/>
          <w:bCs w:val="false"/>
          <w:color w:val="00000A"/>
        </w:rPr>
        <w:t>2.1.3 Programa de Trabalho: 186290</w:t>
      </w:r>
    </w:p>
    <w:p>
      <w:pPr>
        <w:pStyle w:val="Nivel01"/>
        <w:numPr>
          <w:ilvl w:val="0"/>
          <w:numId w:val="0"/>
        </w:numPr>
        <w:spacing w:before="120" w:after="0"/>
        <w:ind w:left="1304" w:hanging="360"/>
        <w:rPr/>
      </w:pPr>
      <w:r>
        <w:rPr>
          <w:rFonts w:eastAsia="ＭＳ 明朝" w:cs="Arial" w:ascii="Arial" w:hAnsi="Arial" w:eastAsiaTheme="minorEastAsia"/>
          <w:b w:val="false"/>
          <w:bCs w:val="false"/>
          <w:color w:val="00000A"/>
        </w:rPr>
        <w:t xml:space="preserve"> </w:t>
      </w:r>
      <w:r>
        <w:rPr>
          <w:rFonts w:eastAsia="ＭＳ 明朝" w:cs="Arial" w:ascii="Arial" w:hAnsi="Arial" w:eastAsiaTheme="minorEastAsia"/>
          <w:b w:val="false"/>
          <w:bCs w:val="false"/>
          <w:color w:val="00000A"/>
        </w:rPr>
        <w:t>2.1.4 Elemento de Despesa: 339030/449052</w:t>
      </w:r>
    </w:p>
    <w:p>
      <w:pPr>
        <w:pStyle w:val="Normal"/>
        <w:spacing w:lineRule="auto" w:line="276" w:beforeAutospacing="1" w:after="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2"/>
        </w:numPr>
        <w:spacing w:before="0" w:after="0"/>
        <w:rPr/>
      </w:pPr>
      <w:r>
        <w:rPr>
          <w:rFonts w:cs="Arial" w:ascii="Arial" w:hAnsi="Arial"/>
        </w:rPr>
        <w:t>DO CREDENCIAMENTO</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numPr>
          <w:ilvl w:val="0"/>
          <w:numId w:val="0"/>
        </w:numPr>
        <w:spacing w:lineRule="auto" w:line="276" w:before="120" w:after="120"/>
        <w:ind w:left="1719" w:hanging="0"/>
        <w:contextualSpacing/>
        <w:jc w:val="both"/>
        <w:rPr/>
      </w:pPr>
      <w:r>
        <w:rPr>
          <w:rFonts w:cs="Arial" w:ascii="Arial" w:hAnsi="Arial"/>
          <w:color w:val="000000" w:themeColor="text1"/>
          <w:sz w:val="20"/>
          <w:szCs w:val="20"/>
        </w:rPr>
        <w:t xml:space="preserve">3.2 O cadastro no SICAF deverá ser feito no Portal de Compras do Governo Federal, no sítio </w:t>
      </w:r>
      <w:hyperlink r:id="rId3">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ivel01"/>
        <w:numPr>
          <w:ilvl w:val="0"/>
          <w:numId w:val="2"/>
        </w:numPr>
        <w:rPr>
          <w:rFonts w:ascii="Arial" w:hAnsi="Arial" w:cs="Arial"/>
        </w:rPr>
      </w:pPr>
      <w:r>
        <w:rPr>
          <w:rFonts w:cs="Arial" w:ascii="Arial" w:hAnsi="Arial"/>
        </w:rPr>
        <w:t>DA PARTICIPAÇÃO NO PREGÃO.</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276" w:before="120" w:after="120"/>
        <w:ind w:left="1638" w:hanging="0"/>
        <w:jc w:val="both"/>
        <w:rPr>
          <w:b/>
          <w:b/>
          <w:bCs/>
          <w:color w:val="000000"/>
        </w:rPr>
      </w:pPr>
      <w:r>
        <w:rPr>
          <w:rFonts w:cs="Arial" w:ascii="Arial" w:hAnsi="Arial"/>
          <w:b/>
          <w:bCs/>
          <w:color w:val="000000"/>
          <w:sz w:val="20"/>
          <w:szCs w:val="20"/>
        </w:rPr>
        <w:t>4.1.2  Para os itens 49, 50 e 51 e para os Grupos 01, 03, 04, 05 e 06, a participação é exclusiva a microempresas e empresas de pequeno porte, nos termos do art. 48 da Lei Complementar nº 123, de 14 de dezembro de 2006.</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0"/>
          <w:numId w:val="0"/>
        </w:numPr>
        <w:snapToGrid w:val="false"/>
        <w:spacing w:lineRule="auto" w:line="276" w:before="120" w:after="120"/>
        <w:ind w:left="0" w:hanging="0"/>
        <w:jc w:val="both"/>
        <w:rPr>
          <w:rFonts w:ascii="Arial" w:hAnsi="Arial" w:cs="Arial"/>
          <w:bCs/>
          <w:color w:val="000000"/>
          <w:sz w:val="20"/>
          <w:szCs w:val="20"/>
        </w:rPr>
      </w:pPr>
      <w:r>
        <w:rPr>
          <w:rFonts w:cs="Arial" w:ascii="Arial" w:hAnsi="Arial"/>
          <w:bCs/>
          <w:color w:val="000000"/>
          <w:sz w:val="20"/>
          <w:szCs w:val="20"/>
        </w:rPr>
        <w:t>4.3 Não poderão participar desta licitação os interessados:</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numPr>
          <w:ilvl w:val="0"/>
          <w:numId w:val="0"/>
        </w:numPr>
        <w:tabs>
          <w:tab w:val="left" w:pos="1440" w:leader="none"/>
        </w:tabs>
        <w:snapToGrid w:val="false"/>
        <w:spacing w:lineRule="auto" w:line="276" w:before="120" w:after="120"/>
        <w:ind w:left="708"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numPr>
          <w:ilvl w:val="0"/>
          <w:numId w:val="0"/>
        </w:numPr>
        <w:tabs>
          <w:tab w:val="left" w:pos="1440" w:leader="none"/>
        </w:tabs>
        <w:snapToGrid w:val="false"/>
        <w:spacing w:lineRule="auto" w:line="276" w:before="120" w:after="120"/>
        <w:ind w:left="708"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numPr>
          <w:ilvl w:val="0"/>
          <w:numId w:val="0"/>
        </w:numPr>
        <w:tabs>
          <w:tab w:val="left" w:pos="1440" w:leader="none"/>
        </w:tabs>
        <w:snapToGrid w:val="false"/>
        <w:spacing w:lineRule="auto" w:line="276" w:before="120" w:after="120"/>
        <w:ind w:left="708" w:hanging="0"/>
        <w:jc w:val="both"/>
        <w:rPr/>
      </w:pPr>
      <w:r>
        <w:rPr>
          <w:rFonts w:cs="Arial" w:ascii="Arial" w:hAnsi="Arial"/>
          <w:sz w:val="20"/>
          <w:szCs w:val="20"/>
        </w:rPr>
        <w:t xml:space="preserve">4.3.5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left" w:pos="1440" w:leader="none"/>
        </w:tabs>
        <w:snapToGrid w:val="false"/>
        <w:spacing w:lineRule="auto" w:line="276" w:before="120" w:after="120"/>
        <w:ind w:left="708" w:hanging="0"/>
        <w:jc w:val="both"/>
        <w:rPr>
          <w:rFonts w:ascii="Arial" w:hAnsi="Arial" w:eastAsia="Zurich BT" w:cs="Arial"/>
          <w:bCs/>
          <w:color w:val="0000FF"/>
          <w:sz w:val="20"/>
          <w:szCs w:val="20"/>
        </w:rPr>
      </w:pPr>
      <w:r>
        <w:rPr>
          <w:rFonts w:cs="Arial" w:ascii="Arial" w:hAnsi="Arial"/>
          <w:sz w:val="20"/>
          <w:szCs w:val="20"/>
        </w:rPr>
        <w:t>4.3.6 entidades empresariais que estejam reunidas em consórcio;</w:t>
      </w:r>
    </w:p>
    <w:p>
      <w:pPr>
        <w:pStyle w:val="Normal"/>
        <w:numPr>
          <w:ilvl w:val="0"/>
          <w:numId w:val="0"/>
        </w:numPr>
        <w:tabs>
          <w:tab w:val="left" w:pos="1440" w:leader="none"/>
        </w:tabs>
        <w:snapToGrid w:val="false"/>
        <w:spacing w:lineRule="auto" w:line="276" w:before="120" w:after="120"/>
        <w:ind w:left="708" w:hanging="0"/>
        <w:jc w:val="both"/>
        <w:rPr/>
      </w:pPr>
      <w:r>
        <w:rPr>
          <w:rFonts w:cs="Arial" w:ascii="Arial" w:hAnsi="Arial"/>
          <w:color w:val="000000"/>
          <w:sz w:val="20"/>
          <w:szCs w:val="20"/>
        </w:rPr>
        <w:t>4.3.7 Organizações da Sociedade Civil de Interesse Público - OSCIP, atuando nessa condição (Acórdão nº 746/2014-TCU-Plenário).</w:t>
      </w:r>
    </w:p>
    <w:p>
      <w:pPr>
        <w:pStyle w:val="Normal"/>
        <w:numPr>
          <w:ilvl w:val="0"/>
          <w:numId w:val="0"/>
        </w:numPr>
        <w:snapToGrid w:val="false"/>
        <w:spacing w:lineRule="auto" w:line="276" w:before="120" w:after="120"/>
        <w:ind w:left="0" w:hanging="0"/>
        <w:jc w:val="both"/>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color w:val="000000"/>
          <w:sz w:val="20"/>
          <w:szCs w:val="20"/>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4.4.2 que está ciente e concorda com as condições contidas no Edital e seus anexos;</w:t>
      </w:r>
    </w:p>
    <w:p>
      <w:pPr>
        <w:pStyle w:val="ListParagraph"/>
        <w:numPr>
          <w:ilvl w:val="0"/>
          <w:numId w:val="0"/>
        </w:numPr>
        <w:tabs>
          <w:tab w:val="left" w:pos="1440" w:leader="none"/>
        </w:tabs>
        <w:snapToGrid w:val="false"/>
        <w:spacing w:lineRule="auto" w:line="276" w:before="120" w:after="120"/>
        <w:ind w:left="708"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4.4.3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FF0000"/>
          <w:sz w:val="20"/>
          <w:szCs w:val="20"/>
        </w:rPr>
      </w:pPr>
      <w:r>
        <w:rPr>
          <w:rFonts w:cs="Arial" w:ascii="Arial" w:hAnsi="Arial"/>
          <w:bCs/>
          <w:color w:val="000000"/>
          <w:sz w:val="20"/>
          <w:szCs w:val="20"/>
        </w:rPr>
        <w:t xml:space="preserve">4.4.7 que os bens são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r>
        <w:rPr>
          <w:rFonts w:cs="Arial" w:ascii="Arial" w:hAnsi="Arial"/>
        </w:rPr>
        <w:t xml:space="preserve">. </w:t>
      </w:r>
    </w:p>
    <w:p>
      <w:pPr>
        <w:pStyle w:val="Normal"/>
        <w:numPr>
          <w:ilvl w:val="0"/>
          <w:numId w:val="0"/>
        </w:numPr>
        <w:snapToGrid w:val="false"/>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4.5 A declaração falsa relativa ao cumprimento de qualquer condição sujeitará o licitante às sanções previstas em lei e neste Edital.</w:t>
      </w:r>
    </w:p>
    <w:p>
      <w:pPr>
        <w:pStyle w:val="Nivel01"/>
        <w:numPr>
          <w:ilvl w:val="0"/>
          <w:numId w:val="2"/>
        </w:numPr>
        <w:rPr>
          <w:rFonts w:ascii="Arial" w:hAnsi="Arial" w:cs="Arial"/>
          <w:color w:val="00000A"/>
        </w:rPr>
      </w:pPr>
      <w:r>
        <w:rPr>
          <w:rFonts w:cs="Arial" w:ascii="Arial" w:hAnsi="Arial"/>
          <w:color w:val="00000A"/>
        </w:rPr>
        <w:t>DA APRESENTAÇÃO DA PROPOSTA E DOS DOCUMENTOS DE HABILITAÇÃO</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276" w:before="120" w:after="120"/>
        <w:ind w:left="0" w:hanging="0"/>
        <w:jc w:val="both"/>
        <w:rPr>
          <w:rFonts w:ascii="Arial" w:hAnsi="Arial" w:cs="Arial"/>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999" w:hanging="0"/>
        <w:jc w:val="both"/>
        <w:rPr>
          <w:rFonts w:ascii="Arial" w:hAnsi="Arial" w:cs="Arial"/>
          <w:sz w:val="20"/>
          <w:szCs w:val="20"/>
        </w:rPr>
      </w:pPr>
      <w:r>
        <w:rPr>
          <w:rFonts w:cs="Arial" w:ascii="Arial" w:hAnsi="Arial"/>
          <w:sz w:val="20"/>
          <w:szCs w:val="20"/>
        </w:rPr>
        <w:t>5.5.1 Até a abertura da sessão pública, os licitantes poderão retirar ou substituir a proposta e os documentos de habilitação anteriormente inseridos no sistema;</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5.6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0" w:hanging="0"/>
        <w:jc w:val="both"/>
        <w:rPr>
          <w:rFonts w:ascii="Arial" w:hAnsi="Arial" w:cs="Arial"/>
          <w:sz w:val="20"/>
          <w:szCs w:val="20"/>
        </w:rPr>
      </w:pPr>
      <w:r>
        <w:rPr>
          <w:rFonts w:cs="Arial" w:ascii="Arial" w:hAnsi="Arial"/>
          <w:sz w:val="20"/>
          <w:szCs w:val="20"/>
        </w:rPr>
        <w:t>5.7 Os documentos que compõem a proposta e a habilitação do licitante melhor classificado somente serão disponibilizados para avaliação do pregoeiro e para acesso público após o encerramento do envio de lances.</w:t>
      </w:r>
    </w:p>
    <w:p>
      <w:pPr>
        <w:pStyle w:val="Nivel01"/>
        <w:numPr>
          <w:ilvl w:val="0"/>
          <w:numId w:val="2"/>
        </w:numPr>
        <w:rPr>
          <w:rFonts w:ascii="Arial" w:hAnsi="Arial" w:cs="Arial"/>
        </w:rPr>
      </w:pPr>
      <w:r>
        <w:rPr>
          <w:rFonts w:cs="Arial" w:ascii="Arial" w:hAnsi="Arial"/>
        </w:rPr>
        <w:t>DO PREENCHIMENTO DA PROPOSTA</w:t>
      </w:r>
    </w:p>
    <w:p>
      <w:pPr>
        <w:pStyle w:val="Normal"/>
        <w:numPr>
          <w:ilvl w:val="1"/>
          <w:numId w:val="2"/>
        </w:numPr>
        <w:spacing w:lineRule="auto" w:line="276" w:before="120" w:after="120"/>
        <w:ind w:left="425" w:hanging="0"/>
        <w:jc w:val="both"/>
        <w:rPr>
          <w:rFonts w:ascii="Arial" w:hAnsi="Arial" w:cs="Arial"/>
          <w:color w:val="000000"/>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 xml:space="preserve">Valor unitário e total </w:t>
      </w:r>
      <w:r>
        <w:rPr>
          <w:rFonts w:cs="Arial" w:ascii="Arial" w:hAnsi="Arial"/>
          <w:bCs/>
          <w:iCs/>
          <w:sz w:val="20"/>
          <w:szCs w:val="20"/>
        </w:rPr>
        <w:t>do item;</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bCs/>
          <w:iCs/>
          <w:color w:val="000000"/>
          <w:sz w:val="20"/>
          <w:szCs w:val="20"/>
        </w:rPr>
        <w:t>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sz w:val="20"/>
          <w:szCs w:val="20"/>
        </w:rPr>
        <w:t xml:space="preserve">o modelo, prazo de validade ou de garantia, número do registro ou inscrição do bem no órgão competente, quando for o caso;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Todas as especificações do objeto contidas na proposta vinculam a Contratada.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prazo de validade da proposta não será </w:t>
      </w:r>
      <w:r>
        <w:rPr>
          <w:rFonts w:cs="Arial" w:ascii="Arial" w:hAnsi="Arial"/>
          <w:sz w:val="20"/>
          <w:szCs w:val="20"/>
        </w:rPr>
        <w:t xml:space="preserve">inferior a 120 </w:t>
      </w:r>
      <w:r>
        <w:rPr>
          <w:rFonts w:cs="Arial" w:ascii="Arial" w:hAnsi="Arial"/>
          <w:bCs/>
          <w:iCs/>
          <w:sz w:val="20"/>
          <w:szCs w:val="20"/>
        </w:rPr>
        <w:t xml:space="preserve">(cento e vinte) </w:t>
      </w:r>
      <w:r>
        <w:rPr>
          <w:rFonts w:cs="Arial" w:ascii="Arial" w:hAnsi="Arial"/>
          <w:bCs/>
          <w:iCs/>
          <w:color w:val="000000"/>
          <w:sz w:val="20"/>
          <w:szCs w:val="20"/>
        </w:rPr>
        <w:t>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licitantes devem respeitar os preços máximos estabelecidos nas normas de regência de contratações públicas federais, quando participarem de licitações públicas;</w:t>
      </w:r>
    </w:p>
    <w:p>
      <w:pPr>
        <w:pStyle w:val="ListParagraph"/>
        <w:numPr>
          <w:ilvl w:val="2"/>
          <w:numId w:val="2"/>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2"/>
        </w:numPr>
        <w:ind w:left="0" w:hanging="0"/>
        <w:rPr>
          <w:rFonts w:ascii="Arial" w:hAnsi="Arial" w:cs="Arial"/>
        </w:rPr>
      </w:pPr>
      <w:r>
        <w:rPr>
          <w:rFonts w:cs="Arial" w:ascii="Arial" w:hAnsi="Arial"/>
          <w:color w:val="00000A"/>
        </w:rPr>
        <w:t xml:space="preserve">DA ABERTURA DA SESSÃO, CLASSIFICAÇÃO DAS PROPOSTAS E FORMULAÇÃO DE LANCES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  </w:t>
      </w:r>
      <w:r>
        <w:rPr>
          <w:rFonts w:cs="Arial" w:ascii="Arial" w:hAnsi="Arial"/>
          <w:color w:val="000000"/>
          <w:sz w:val="20"/>
          <w:szCs w:val="20"/>
          <w:lang w:eastAsia="en-US"/>
        </w:rPr>
        <w:t>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lang w:eastAsia="en-US"/>
        </w:rPr>
        <w:t>Também será desclassificada a proposta que identifique o licitante.</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não desclassificação da proposta não impede o seu julgamento definitivo em sentido contrário, levado a efeito na fase de aceitação.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sistema ordenará automaticamente as propostas classificadas, sendo que somente estas participarão da fase de lances.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sistema disponibilizará campo próprio para troca de mensagens entre o Pregoeiro e os licitantes.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 xml:space="preserve">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2"/>
          <w:numId w:val="2"/>
        </w:numPr>
        <w:tabs>
          <w:tab w:val="left" w:pos="1440" w:leader="none"/>
        </w:tabs>
        <w:snapToGrid w:val="false"/>
        <w:spacing w:lineRule="auto" w:line="276" w:before="120" w:after="120"/>
        <w:jc w:val="both"/>
        <w:rPr>
          <w:rFonts w:ascii="Arial" w:hAnsi="Arial" w:cs="Arial"/>
          <w:sz w:val="20"/>
          <w:szCs w:val="20"/>
        </w:rPr>
      </w:pPr>
      <w:r>
        <w:rPr>
          <w:rFonts w:cs="Arial" w:ascii="Arial" w:hAnsi="Arial"/>
          <w:sz w:val="20"/>
          <w:szCs w:val="20"/>
        </w:rPr>
        <w:t>O lance deverá ser ofertado pelo valor unitário de cada item que compõe cada grupo.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Os licitantes poderão oferecer lances sucessivos, observando o horário fixado para abertura da sessão e as regras estabelecidas no Edital.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O licitante somente poderá oferecer lance de valor inferior ou percentual de desconto superior ao último por ele ofertado e registrado pelo sistema.</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sz w:val="20"/>
          <w:szCs w:val="20"/>
        </w:rPr>
        <w:t xml:space="preserve">O intervalo mínimo de diferença de valores </w:t>
      </w:r>
      <w:r>
        <w:rPr>
          <w:rFonts w:cs="Arial" w:ascii="Arial" w:hAnsi="Arial"/>
          <w:iCs/>
          <w:sz w:val="20"/>
          <w:szCs w:val="20"/>
        </w:rPr>
        <w:t>ou percentuais</w:t>
      </w:r>
      <w:r>
        <w:rPr>
          <w:rFonts w:cs="Arial" w:ascii="Arial" w:hAnsi="Arial"/>
          <w:sz w:val="20"/>
          <w:szCs w:val="20"/>
        </w:rPr>
        <w:t xml:space="preserve"> entre os lances, que incidirá tanto em relação aos lances intermediários quanto em relação à proposta que cobrir a melhor oferta deverá ser de R$ 0,05(zero virgula zero cinco centavos).</w:t>
      </w:r>
    </w:p>
    <w:p>
      <w:pPr>
        <w:pStyle w:val="ListParagraph"/>
        <w:numPr>
          <w:ilvl w:val="0"/>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0"/>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ListParagraph"/>
        <w:numPr>
          <w:ilvl w:val="1"/>
          <w:numId w:val="5"/>
        </w:numPr>
        <w:spacing w:lineRule="auto" w:line="276" w:before="120" w:after="120"/>
        <w:contextualSpacing/>
        <w:jc w:val="both"/>
        <w:rPr>
          <w:rFonts w:ascii="Arial" w:hAnsi="Arial" w:cs="Arial"/>
          <w:iCs/>
          <w:vanish/>
          <w:sz w:val="20"/>
          <w:szCs w:val="20"/>
        </w:rPr>
      </w:pPr>
      <w:r>
        <w:rPr>
          <w:rFonts w:cs="Arial" w:ascii="Arial" w:hAnsi="Arial"/>
          <w:iCs/>
          <w:vanish/>
          <w:sz w:val="20"/>
          <w:szCs w:val="20"/>
        </w:rPr>
      </w:r>
    </w:p>
    <w:p>
      <w:pPr>
        <w:pStyle w:val="Normal"/>
        <w:numPr>
          <w:ilvl w:val="1"/>
          <w:numId w:val="5"/>
        </w:numPr>
        <w:spacing w:lineRule="auto" w:line="276" w:before="120" w:after="120"/>
        <w:jc w:val="both"/>
        <w:rPr>
          <w:rFonts w:ascii="Arial" w:hAnsi="Arial" w:cs="Arial"/>
          <w:iCs/>
          <w:sz w:val="20"/>
          <w:szCs w:val="20"/>
        </w:rPr>
      </w:pPr>
      <w:r>
        <w:rPr>
          <w:rFonts w:cs="Arial" w:ascii="Arial" w:hAnsi="Arial"/>
          <w:iCs/>
          <w:sz w:val="20"/>
          <w:szCs w:val="20"/>
        </w:rPr>
        <w:t xml:space="preserve">Será adotado </w:t>
      </w:r>
      <w:r>
        <w:rPr>
          <w:rFonts w:cs="Arial" w:ascii="Arial" w:hAnsi="Arial"/>
          <w:sz w:val="20"/>
          <w:szCs w:val="20"/>
        </w:rPr>
        <w:t xml:space="preserve">para o envio de lances no pregão eletrônico o modo de disputa “aberto”, em que os </w:t>
      </w:r>
      <w:r>
        <w:rPr>
          <w:rFonts w:cs="Arial" w:ascii="Arial" w:hAnsi="Arial"/>
          <w:iCs/>
          <w:sz w:val="20"/>
          <w:szCs w:val="20"/>
        </w:rPr>
        <w:t>licitantes</w:t>
      </w:r>
      <w:r>
        <w:rPr>
          <w:rFonts w:cs="Arial" w:ascii="Arial" w:hAnsi="Arial"/>
          <w:sz w:val="20"/>
          <w:szCs w:val="20"/>
        </w:rPr>
        <w:t xml:space="preserve"> apresentarão lances públicos e sucessivos, com prorrogações.</w:t>
      </w:r>
    </w:p>
    <w:p>
      <w:pPr>
        <w:pStyle w:val="Normal"/>
        <w:numPr>
          <w:ilvl w:val="1"/>
          <w:numId w:val="5"/>
        </w:numPr>
        <w:spacing w:lineRule="auto" w:line="276" w:before="120" w:after="120"/>
        <w:jc w:val="both"/>
        <w:rPr>
          <w:rFonts w:ascii="Arial" w:hAnsi="Arial" w:cs="Arial"/>
          <w:iCs/>
          <w:sz w:val="20"/>
          <w:szCs w:val="20"/>
        </w:rPr>
      </w:pPr>
      <w:r>
        <w:rPr>
          <w:rFonts w:cs="Arial" w:ascii="Arial" w:hAnsi="Arial"/>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Normal"/>
        <w:numPr>
          <w:ilvl w:val="1"/>
          <w:numId w:val="5"/>
        </w:numPr>
        <w:spacing w:lineRule="auto" w:line="276" w:before="120" w:after="120"/>
        <w:jc w:val="both"/>
        <w:rPr>
          <w:rFonts w:ascii="Arial" w:hAnsi="Arial" w:cs="Arial"/>
          <w:iCs/>
          <w:sz w:val="20"/>
          <w:szCs w:val="20"/>
        </w:rPr>
      </w:pPr>
      <w:r>
        <w:rPr>
          <w:rFonts w:cs="Arial" w:ascii="Arial" w:hAnsi="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Normal"/>
        <w:numPr>
          <w:ilvl w:val="1"/>
          <w:numId w:val="5"/>
        </w:numPr>
        <w:spacing w:lineRule="auto" w:line="276" w:before="120" w:after="120"/>
        <w:jc w:val="both"/>
        <w:rPr>
          <w:rFonts w:ascii="Arial" w:hAnsi="Arial" w:cs="Arial"/>
          <w:iCs/>
          <w:sz w:val="20"/>
          <w:szCs w:val="20"/>
        </w:rPr>
      </w:pPr>
      <w:r>
        <w:rPr>
          <w:rFonts w:cs="Arial" w:ascii="Arial" w:hAnsi="Arial"/>
          <w:sz w:val="20"/>
          <w:szCs w:val="20"/>
        </w:rPr>
        <w:t>Não havendo novos lances na forma estabelecida nos itens anteriores, a sessão pública encerrar-se-á automaticamente.</w:t>
      </w:r>
    </w:p>
    <w:p>
      <w:pPr>
        <w:pStyle w:val="Normal"/>
        <w:numPr>
          <w:ilvl w:val="1"/>
          <w:numId w:val="5"/>
        </w:numPr>
        <w:spacing w:lineRule="auto" w:line="276" w:before="120" w:after="120"/>
        <w:jc w:val="both"/>
        <w:rPr>
          <w:rFonts w:ascii="Arial" w:hAnsi="Arial" w:cs="Arial"/>
          <w:iCs/>
          <w:sz w:val="20"/>
          <w:szCs w:val="20"/>
        </w:rPr>
      </w:pPr>
      <w:r>
        <w:rPr>
          <w:rFonts w:cs="Arial" w:ascii="Arial" w:hAnsi="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ListParagraph"/>
        <w:numPr>
          <w:ilvl w:val="1"/>
          <w:numId w:val="7"/>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 xml:space="preserve">Não serão aceitos dois ou mais lances de mesmo valor, prevalecendo aquele que for recebido e registrado em primeiro lugar.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Quando a desconexão do sistema eletrônico para o pregoeiro persistir por tempo superior a dez minutos, a sessão pública será suspensa e reiniciada somente após decorridas </w:t>
      </w:r>
      <w:r>
        <w:rPr>
          <w:rFonts w:cs="Arial" w:ascii="Arial" w:hAnsi="Arial"/>
          <w:color w:val="000000"/>
          <w:sz w:val="20"/>
          <w:szCs w:val="20"/>
          <w:highlight w:val="yellow"/>
        </w:rPr>
        <w:t>doze</w:t>
      </w:r>
      <w:r>
        <w:rPr>
          <w:rFonts w:cs="Arial" w:ascii="Arial" w:hAnsi="Arial"/>
          <w:color w:val="000000"/>
          <w:sz w:val="20"/>
          <w:szCs w:val="20"/>
        </w:rPr>
        <w:t xml:space="preserve">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Critério de julgamento adotado </w:t>
      </w:r>
      <w:r>
        <w:rPr>
          <w:rFonts w:cs="Arial" w:ascii="Arial" w:hAnsi="Arial"/>
          <w:sz w:val="20"/>
          <w:szCs w:val="20"/>
        </w:rPr>
        <w:t xml:space="preserve">será o menor preço, </w:t>
      </w:r>
      <w:r>
        <w:rPr>
          <w:rFonts w:cs="Arial" w:ascii="Arial" w:hAnsi="Arial"/>
          <w:color w:val="000000"/>
          <w:sz w:val="20"/>
          <w:szCs w:val="20"/>
        </w:rPr>
        <w:t xml:space="preserve">conforme definido neste Edital e seus anexos. </w:t>
      </w:r>
    </w:p>
    <w:p>
      <w:pPr>
        <w:pStyle w:val="Normal"/>
        <w:numPr>
          <w:ilvl w:val="1"/>
          <w:numId w:val="2"/>
        </w:numPr>
        <w:spacing w:lineRule="auto" w:line="276" w:before="120" w:after="120"/>
        <w:jc w:val="both"/>
        <w:rPr>
          <w:rFonts w:ascii="Arial" w:hAnsi="Arial" w:eastAsia="Zurich BT" w:cs="Arial"/>
          <w:sz w:val="20"/>
          <w:szCs w:val="20"/>
        </w:rPr>
      </w:pPr>
      <w:r>
        <w:rPr>
          <w:rFonts w:cs="Arial" w:ascii="Arial" w:hAnsi="Arial"/>
          <w:color w:val="000000" w:themeColor="text1"/>
          <w:sz w:val="20"/>
          <w:szCs w:val="20"/>
          <w:lang w:eastAsia="en-US"/>
        </w:rPr>
        <w:t>Caso o licitante não apresente lances, concorrerá com o valor de sua proposta.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eastAsia="Arial" w:cs="Arial" w:ascii="Arial" w:hAnsi="Arial"/>
          <w:sz w:val="20"/>
          <w:szCs w:val="20"/>
        </w:rPr>
        <w:t xml:space="preserve">Só poderá haver empate entre propostas iguais (não seguidas de lances), ou entre lances finais da fase fechada do modo de disputa aberto e fechado. </w:t>
      </w:r>
    </w:p>
    <w:p>
      <w:pPr>
        <w:pStyle w:val="ListParagraph"/>
        <w:numPr>
          <w:ilvl w:val="1"/>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no pais;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por empresas brasileiras; </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invistam em pesquisa e no desenvolvimento de tecnologia no País;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sz w:val="20"/>
          <w:szCs w:val="20"/>
        </w:rPr>
        <w:t xml:space="preserve">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numPr>
          <w:ilvl w:val="1"/>
          <w:numId w:val="2"/>
        </w:numPr>
        <w:tabs>
          <w:tab w:val="left" w:pos="-12" w:leader="none"/>
        </w:tabs>
        <w:spacing w:lineRule="auto" w:line="276" w:before="120" w:after="120"/>
        <w:contextualSpacing/>
        <w:jc w:val="both"/>
        <w:rPr>
          <w:rFonts w:ascii="Arial" w:hAnsi="Arial" w:cs="Arial"/>
          <w:color w:val="000000" w:themeColor="text1"/>
          <w:sz w:val="20"/>
          <w:szCs w:val="20"/>
        </w:rPr>
      </w:pPr>
      <w:r>
        <w:rPr>
          <w:rFonts w:cs="Arial" w:ascii="Arial" w:hAnsi="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A negociação será realizada por meio do sistema, podendo ser acompanhada pelos demais licitantes.</w:t>
      </w:r>
    </w:p>
    <w:p>
      <w:pPr>
        <w:pStyle w:val="ListParagraph"/>
        <w:numPr>
          <w:ilvl w:val="2"/>
          <w:numId w:val="2"/>
        </w:numPr>
        <w:tabs>
          <w:tab w:val="left" w:pos="-12" w:leader="none"/>
        </w:tabs>
        <w:spacing w:lineRule="auto" w:line="276" w:before="120" w:after="120"/>
        <w:contextualSpacing/>
        <w:jc w:val="both"/>
        <w:rPr>
          <w:rFonts w:ascii="Arial" w:hAnsi="Arial" w:eastAsia="Arial" w:cs="Arial"/>
          <w:sz w:val="20"/>
          <w:szCs w:val="20"/>
        </w:rPr>
      </w:pPr>
      <w:r>
        <w:rPr>
          <w:rFonts w:cs="Arial" w:ascii="Arial" w:hAnsi="Arial"/>
          <w:color w:val="000000"/>
          <w:sz w:val="20"/>
          <w:szCs w:val="20"/>
        </w:rPr>
        <w:t xml:space="preserve">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no prazo de</w:t>
      </w:r>
      <w:r>
        <w:rPr>
          <w:rFonts w:cs="Arial" w:ascii="Arial" w:hAnsi="Arial"/>
          <w:b/>
          <w:sz w:val="20"/>
          <w:szCs w:val="20"/>
        </w:rPr>
        <w:t xml:space="preserve"> 02(duas)</w:t>
      </w:r>
      <w:r>
        <w:rPr>
          <w:rFonts w:cs="Arial" w:ascii="Arial" w:hAnsi="Arial"/>
          <w:b/>
          <w:i/>
          <w:iCs/>
          <w:sz w:val="20"/>
          <w:szCs w:val="20"/>
        </w:rPr>
        <w:t xml:space="preserve"> </w:t>
      </w:r>
      <w:r>
        <w:rPr>
          <w:rFonts w:cs="Arial" w:ascii="Arial" w:hAnsi="Arial"/>
          <w:b/>
          <w:sz w:val="20"/>
          <w:szCs w:val="20"/>
        </w:rPr>
        <w:t>horas</w:t>
      </w:r>
      <w:r>
        <w:rPr>
          <w:rFonts w:cs="Arial" w:ascii="Arial" w:hAnsi="Arial"/>
          <w:color w:val="000000" w:themeColor="text1"/>
          <w:sz w:val="20"/>
          <w:szCs w:val="20"/>
        </w:rPr>
        <w:t xml:space="preserve">,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Após a negociação do preço, o Pregoeiro iniciará a fase de aceitação e julgamento da proposta.</w:t>
      </w:r>
    </w:p>
    <w:p>
      <w:pPr>
        <w:pStyle w:val="Nivel01"/>
        <w:numPr>
          <w:ilvl w:val="0"/>
          <w:numId w:val="2"/>
        </w:numPr>
        <w:ind w:left="0" w:hanging="0"/>
        <w:rPr>
          <w:rFonts w:ascii="Arial" w:hAnsi="Arial" w:cs="Arial"/>
        </w:rPr>
      </w:pPr>
      <w:r>
        <w:rPr>
          <w:rFonts w:cs="Arial" w:ascii="Arial" w:hAnsi="Arial"/>
          <w:lang w:eastAsia="en-US"/>
        </w:rPr>
        <w:t>DA ACEITABILIDADE DA PROPOSTA VENCEDORA.</w:t>
      </w:r>
    </w:p>
    <w:p>
      <w:pPr>
        <w:pStyle w:val="ListParagraph"/>
        <w:numPr>
          <w:ilvl w:val="1"/>
          <w:numId w:val="2"/>
        </w:numPr>
        <w:spacing w:lineRule="auto" w:line="276" w:before="120" w:after="120"/>
        <w:contextualSpacing/>
        <w:jc w:val="both"/>
        <w:rPr>
          <w:rFonts w:ascii="Arial" w:hAnsi="Arial" w:cs="Arial"/>
          <w:i/>
          <w:i/>
          <w:color w:val="000000" w:themeColor="text1"/>
          <w:sz w:val="20"/>
          <w:szCs w:val="20"/>
        </w:rPr>
      </w:pPr>
      <w:r>
        <w:rPr>
          <w:rFonts w:cs="Arial" w:ascii="Arial" w:hAnsi="Arial"/>
          <w:sz w:val="20"/>
          <w:szCs w:val="20"/>
          <w:highlight w:val="yellow"/>
        </w:rPr>
        <w:t xml:space="preserve">Encerrada a etapa de negociação, o pregoeiro examinará a proposta classificada em primeiro </w:t>
      </w:r>
      <w:r>
        <w:rPr>
          <w:rFonts w:cs="Arial" w:ascii="Arial" w:hAnsi="Arial"/>
          <w:color w:val="000000"/>
          <w:sz w:val="20"/>
          <w:szCs w:val="20"/>
          <w:highlight w:val="yellow"/>
        </w:rPr>
        <w:t>lugar</w:t>
      </w:r>
      <w:r>
        <w:rPr>
          <w:rFonts w:cs="Arial" w:ascii="Arial" w:hAnsi="Arial"/>
          <w:sz w:val="20"/>
          <w:szCs w:val="20"/>
          <w:highlight w:val="yellow"/>
        </w:rPr>
        <w:t xml:space="preserve"> quanto à adequação ao objeto e à compatibilidade do preço em relação ao estimado pela Administração, observado o disposto no parágrafo único do art. 7º, no § 9º do art. 26 do Decreto n.º 10.024/2019 e no §3º do art. 4º-E da Lei nº 13.979/20.</w:t>
      </w:r>
    </w:p>
    <w:p>
      <w:pPr>
        <w:pStyle w:val="ListParagraph"/>
        <w:numPr>
          <w:ilvl w:val="1"/>
          <w:numId w:val="2"/>
        </w:numPr>
        <w:spacing w:lineRule="auto" w:line="276" w:before="120" w:after="120"/>
        <w:contextualSpacing/>
        <w:jc w:val="both"/>
        <w:rPr>
          <w:rFonts w:ascii="Arial" w:hAnsi="Arial" w:cs="Arial"/>
          <w:b/>
          <w:b/>
          <w:color w:val="7030A0"/>
          <w:sz w:val="20"/>
          <w:szCs w:val="20"/>
        </w:rPr>
      </w:pPr>
      <w:r>
        <w:rPr>
          <w:rFonts w:cs="Arial" w:ascii="Arial" w:hAnsi="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1"/>
          <w:numId w:val="2"/>
        </w:numPr>
        <w:spacing w:lineRule="auto" w:line="276" w:before="120" w:after="120"/>
        <w:ind w:left="999" w:right="-15" w:hanging="432"/>
        <w:contextualSpacing/>
        <w:jc w:val="both"/>
        <w:rPr>
          <w:rFonts w:ascii="Arial" w:hAnsi="Arial" w:cs="Arial"/>
          <w:b/>
          <w:b/>
          <w:color w:val="7030A0"/>
          <w:sz w:val="20"/>
          <w:szCs w:val="20"/>
        </w:rPr>
      </w:pPr>
      <w:r>
        <w:rPr>
          <w:rFonts w:cs="Arial" w:ascii="Arial" w:hAnsi="Arial"/>
          <w:color w:val="000000"/>
          <w:sz w:val="20"/>
          <w:szCs w:val="20"/>
          <w:highlight w:val="yellow"/>
        </w:rPr>
        <w:t>Será desclassificada a proposta ou o lance vencedor que apresentar preço final incompatível com o estimado pela Administração, ou que apresentar preço manifestamente inexequível.</w:t>
      </w:r>
    </w:p>
    <w:p>
      <w:pPr>
        <w:pStyle w:val="ListParagraph"/>
        <w:numPr>
          <w:ilvl w:val="2"/>
          <w:numId w:val="2"/>
        </w:numPr>
        <w:spacing w:lineRule="auto" w:line="276" w:before="120" w:after="120"/>
        <w:contextualSpacing/>
        <w:jc w:val="both"/>
        <w:rPr>
          <w:rFonts w:ascii="Arial" w:hAnsi="Arial" w:cs="Arial"/>
          <w:i/>
          <w:i/>
          <w:color w:val="FF0000"/>
          <w:sz w:val="20"/>
          <w:szCs w:val="20"/>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w:t>
      </w:r>
      <w:r>
        <w:rPr>
          <w:rFonts w:cs="Arial" w:ascii="Arial" w:hAnsi="Arial"/>
          <w:color w:val="000000" w:themeColor="text1"/>
          <w:sz w:val="20"/>
          <w:szCs w:val="20"/>
          <w:highlight w:val="yellow"/>
          <w:lang w:eastAsia="en-US"/>
        </w:rPr>
        <w:t xml:space="preserve"> </w:t>
      </w:r>
      <w:r>
        <w:rPr>
          <w:rFonts w:cs="Arial" w:ascii="Arial" w:hAnsi="Arial"/>
          <w:sz w:val="20"/>
          <w:szCs w:val="20"/>
          <w:highlight w:val="yellow"/>
          <w:lang w:eastAsia="en-US"/>
        </w:rPr>
        <w:t xml:space="preserve">doze </w:t>
      </w:r>
      <w:r>
        <w:rPr>
          <w:rFonts w:cs="Arial" w:ascii="Arial" w:hAnsi="Arial"/>
          <w:color w:val="000000" w:themeColor="text1"/>
          <w:sz w:val="20"/>
          <w:szCs w:val="20"/>
          <w:lang w:eastAsia="en-US"/>
        </w:rPr>
        <w:t>horas de antecedência, e a ocorrência será registrada em ata;</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 xml:space="preserve">O Pregoeiro poderá convocar o licitante para enviar documento digital complementar, por meio de funcionalidade disponível no sistema, no prazo de 02(duas) </w:t>
      </w:r>
      <w:r>
        <w:rPr>
          <w:rFonts w:cs="Arial" w:ascii="Arial" w:hAnsi="Arial"/>
          <w:sz w:val="20"/>
          <w:szCs w:val="20"/>
          <w:lang w:eastAsia="en-US"/>
        </w:rPr>
        <w:t xml:space="preserve">horas, </w:t>
      </w:r>
      <w:r>
        <w:rPr>
          <w:rFonts w:cs="Arial" w:ascii="Arial" w:hAnsi="Arial"/>
          <w:color w:val="000000" w:themeColor="text1"/>
          <w:sz w:val="20"/>
          <w:szCs w:val="20"/>
          <w:lang w:eastAsia="en-US"/>
        </w:rPr>
        <w:t>sob pena de não aceitação da proposta.</w:t>
      </w:r>
    </w:p>
    <w:p>
      <w:pPr>
        <w:pStyle w:val="Normal"/>
        <w:numPr>
          <w:ilvl w:val="2"/>
          <w:numId w:val="2"/>
        </w:numPr>
        <w:spacing w:lineRule="auto" w:line="276" w:before="120" w:after="120"/>
        <w:ind w:left="1638" w:right="-15" w:hanging="504"/>
        <w:jc w:val="both"/>
        <w:rPr>
          <w:rFonts w:ascii="Arial" w:hAnsi="Arial" w:cs="Arial"/>
          <w:color w:val="000000" w:themeColor="text1"/>
          <w:sz w:val="20"/>
          <w:szCs w:val="20"/>
          <w:lang w:eastAsia="en-US"/>
        </w:rPr>
      </w:pPr>
      <w:r>
        <w:rPr>
          <w:rFonts w:cs="Arial" w:ascii="Arial" w:hAnsi="Arial"/>
          <w:color w:val="000000"/>
          <w:sz w:val="20"/>
          <w:szCs w:val="20"/>
          <w:lang w:eastAsia="en-US"/>
        </w:rPr>
        <w:t>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PADRO"/>
        <w:numPr>
          <w:ilvl w:val="2"/>
          <w:numId w:val="2"/>
        </w:numPr>
        <w:shd w:val="clear" w:fill="FFFFFF"/>
        <w:rPr/>
      </w:pPr>
      <w:r>
        <w:rPr>
          <w:rFonts w:cs="Arial" w:ascii="Arial" w:hAnsi="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1"/>
          <w:numId w:val="2"/>
        </w:numPr>
        <w:spacing w:lineRule="auto" w:line="276" w:before="120" w:after="120"/>
        <w:ind w:left="425" w:hanging="0"/>
        <w:contextualSpacing/>
        <w:jc w:val="both"/>
        <w:rPr>
          <w:rFonts w:ascii="Arial" w:hAnsi="Arial" w:cs="Arial"/>
          <w:bCs/>
          <w:iCs/>
          <w:color w:val="000000"/>
          <w:sz w:val="20"/>
          <w:szCs w:val="20"/>
        </w:rPr>
      </w:pP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2"/>
        </w:numPr>
        <w:spacing w:lineRule="auto" w:line="276" w:before="120" w:after="120"/>
        <w:ind w:left="999" w:right="-15" w:hanging="432"/>
        <w:jc w:val="both"/>
        <w:rPr>
          <w:rFonts w:ascii="Arial" w:hAnsi="Arial" w:cs="Arial"/>
          <w:color w:val="000000" w:themeColor="text1"/>
          <w:sz w:val="20"/>
          <w:szCs w:val="20"/>
        </w:rPr>
      </w:pPr>
      <w:r>
        <w:rPr>
          <w:rFonts w:cs="Arial" w:ascii="Arial" w:hAnsi="Arial"/>
          <w:color w:val="000000"/>
          <w:sz w:val="20"/>
          <w:szCs w:val="20"/>
        </w:rPr>
        <w:t xml:space="preserve">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 </w:t>
      </w:r>
    </w:p>
    <w:p>
      <w:pPr>
        <w:pStyle w:val="Nivel01"/>
        <w:numPr>
          <w:ilvl w:val="0"/>
          <w:numId w:val="2"/>
        </w:numPr>
        <w:ind w:left="0" w:hanging="0"/>
        <w:rPr>
          <w:rFonts w:ascii="Arial" w:hAnsi="Arial" w:cs="Arial"/>
        </w:rPr>
      </w:pPr>
      <w:r>
        <w:rPr>
          <w:rFonts w:cs="Arial" w:ascii="Arial" w:hAnsi="Arial"/>
          <w:lang w:eastAsia="en-US"/>
        </w:rPr>
        <w:t xml:space="preserve">DA HABILITAÇÃO  </w:t>
      </w:r>
    </w:p>
    <w:p>
      <w:pPr>
        <w:pStyle w:val="Nivel01"/>
        <w:numPr>
          <w:ilvl w:val="1"/>
          <w:numId w:val="2"/>
        </w:numPr>
        <w:spacing w:lineRule="auto" w:line="276"/>
        <w:rPr>
          <w:rFonts w:ascii="Arial" w:hAnsi="Arial" w:cs="Arial"/>
          <w:b w:val="false"/>
          <w:b w:val="false"/>
          <w:lang w:eastAsia="ar-SA"/>
        </w:rPr>
      </w:pPr>
      <w:r>
        <w:rPr>
          <w:rFonts w:cs="Arial" w:ascii="Arial" w:hAnsi="Arial"/>
          <w:b w:val="fals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1134" w:hanging="0"/>
        <w:contextualSpacing/>
        <w:jc w:val="both"/>
        <w:rPr/>
      </w:pPr>
      <w:r>
        <w:rPr>
          <w:rFonts w:cs="Arial" w:ascii="Arial" w:hAnsi="Arial"/>
          <w:sz w:val="20"/>
          <w:szCs w:val="20"/>
          <w:lang w:eastAsia="ar-SA"/>
        </w:rPr>
        <w:t>b) Cadastro Nacional de Empresas Inidôneas e Suspensas - CEIS, mantido pela Controladoria-Geral da União (</w:t>
      </w:r>
      <w:hyperlink r:id="rId4">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pPr>
      <w:r>
        <w:rPr>
          <w:rFonts w:cs="Arial" w:ascii="Arial" w:hAnsi="Arial"/>
          <w:sz w:val="20"/>
          <w:szCs w:val="20"/>
          <w:lang w:eastAsia="ar-SA"/>
        </w:rPr>
        <w:t>c) Cadastro Nacional de Condenações Cíveis por Atos de Improbidade Administrativa, mantido pelo Conselho Nacional de Justiça (</w:t>
      </w:r>
      <w:hyperlink r:id="rId5">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numPr>
          <w:ilvl w:val="2"/>
          <w:numId w:val="2"/>
        </w:numPr>
        <w:spacing w:lineRule="auto" w:line="276"/>
        <w:rPr>
          <w:rFonts w:ascii="Arial" w:hAnsi="Arial" w:cs="Arial"/>
          <w:b w:val="false"/>
          <w:b w:val="false"/>
        </w:rPr>
      </w:pPr>
      <w:r>
        <w:rPr>
          <w:rFonts w:cs="Arial" w:ascii="Arial" w:hAnsi="Arial"/>
          <w:b w:val="false"/>
          <w:bCs w:val="false"/>
          <w:lang w:eastAsia="ar-SA"/>
        </w:rPr>
        <w:t>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A tentativa de burla será verificada por meio dos vínculos societários, linhas de fornecimento similares, dentre outros.</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O licitante será convocado para manifestação previamente à sua desclassificação.</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2"/>
        </w:numPr>
        <w:spacing w:lineRule="auto" w:line="276" w:before="120" w:after="120"/>
        <w:contextualSpacing/>
        <w:jc w:val="both"/>
        <w:rPr>
          <w:rFonts w:ascii="Arial" w:hAnsi="Arial" w:cs="Arial"/>
          <w:sz w:val="20"/>
          <w:szCs w:val="20"/>
          <w:lang w:eastAsia="ar-SA"/>
        </w:rPr>
      </w:pPr>
      <w:r>
        <w:rPr>
          <w:rFonts w:cs="Arial" w:ascii="Arial" w:hAnsi="Arial"/>
          <w:sz w:val="20"/>
          <w:szCs w:val="20"/>
          <w:lang w:eastAsia="ar-SA"/>
        </w:rPr>
        <w:t xml:space="preserve">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dos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numPr>
          <w:ilvl w:val="2"/>
          <w:numId w:val="2"/>
        </w:numPr>
        <w:spacing w:lineRule="auto" w:line="276" w:before="120" w:after="120"/>
        <w:contextualSpacing/>
        <w:jc w:val="both"/>
        <w:rPr>
          <w:rFonts w:ascii="Arial" w:hAnsi="Arial" w:cs="Arial"/>
          <w:sz w:val="20"/>
          <w:szCs w:val="20"/>
          <w:lang w:eastAsia="ar-SA"/>
        </w:rPr>
      </w:pP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2"/>
        </w:numPr>
        <w:spacing w:lineRule="auto" w:line="276" w:before="120" w:after="120"/>
        <w:jc w:val="both"/>
        <w:rPr>
          <w:rFonts w:ascii="Arial" w:hAnsi="Arial" w:cs="Arial"/>
          <w:color w:val="000000"/>
          <w:sz w:val="20"/>
          <w:szCs w:val="20"/>
        </w:rPr>
      </w:pPr>
      <w:r>
        <w:rPr>
          <w:rFonts w:cs="Arial" w:ascii="Arial" w:hAnsi="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2"/>
        </w:numPr>
        <w:spacing w:lineRule="auto" w:line="276" w:before="120" w:after="120"/>
        <w:jc w:val="both"/>
        <w:rPr>
          <w:rFonts w:ascii="Arial" w:hAnsi="Arial" w:cs="Arial"/>
          <w:color w:val="000000" w:themeColor="text1"/>
          <w:sz w:val="20"/>
          <w:szCs w:val="20"/>
        </w:rPr>
      </w:pPr>
      <w:r>
        <w:rPr>
          <w:rFonts w:cs="Arial" w:ascii="Arial" w:hAnsi="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widowControl/>
        <w:numPr>
          <w:ilvl w:val="1"/>
          <w:numId w:val="2"/>
        </w:numPr>
        <w:shd w:val="clear" w:fill="FFFFFF"/>
        <w:spacing w:before="120" w:after="120"/>
        <w:rPr>
          <w:rFonts w:ascii="Arial" w:hAnsi="Arial" w:eastAsia="ＭＳ 明朝" w:cs="Arial"/>
          <w:color w:val="000000"/>
          <w:sz w:val="20"/>
          <w:szCs w:val="20"/>
          <w:lang w:val="pt-BR" w:eastAsia="pt-BR" w:bidi="ar-SA"/>
        </w:rPr>
      </w:pPr>
      <w:r>
        <w:rPr>
          <w:rFonts w:eastAsia="ＭＳ 明朝" w:cs="Arial" w:ascii="Arial" w:hAnsi="Arial"/>
          <w:color w:val="000000"/>
          <w:sz w:val="20"/>
          <w:szCs w:val="20"/>
          <w:lang w:val="pt-BR" w:eastAsia="pt-BR" w:bidi="ar-SA"/>
        </w:rPr>
        <w:t>Havendo a necessidade de envio de documentos de habilitação complementares, necessários à confirmação daqueles exigidos neste Edital e já apresentados, o licitante será convocado a encaminhá-los, em formato digital, via sistema, no prazo de 02(duas)</w:t>
      </w:r>
      <w:r>
        <w:rPr>
          <w:rFonts w:eastAsia="ＭＳ 明朝" w:cs="Arial" w:ascii="Arial" w:hAnsi="Arial"/>
          <w:i/>
          <w:iCs/>
          <w:color w:val="000000"/>
          <w:sz w:val="20"/>
          <w:szCs w:val="20"/>
          <w:lang w:val="pt-BR" w:eastAsia="pt-BR" w:bidi="ar-SA"/>
        </w:rPr>
        <w:t xml:space="preserve"> </w:t>
      </w:r>
      <w:r>
        <w:rPr>
          <w:rFonts w:eastAsia="ＭＳ 明朝" w:cs="Arial" w:ascii="Arial" w:hAnsi="Arial"/>
          <w:color w:val="000000"/>
          <w:sz w:val="20"/>
          <w:szCs w:val="20"/>
          <w:lang w:val="pt-BR" w:eastAsia="pt-BR" w:bidi="ar-SA"/>
        </w:rPr>
        <w:t>horas, sob pena de inabilitação.</w:t>
      </w:r>
    </w:p>
    <w:p>
      <w:pPr>
        <w:pStyle w:val="Normal"/>
        <w:numPr>
          <w:ilvl w:val="1"/>
          <w:numId w:val="2"/>
        </w:numPr>
        <w:spacing w:lineRule="auto" w:line="276" w:before="120" w:after="120"/>
        <w:jc w:val="both"/>
        <w:rPr>
          <w:rFonts w:ascii="Arial" w:hAnsi="Arial" w:cs="Arial"/>
          <w:sz w:val="20"/>
          <w:szCs w:val="20"/>
          <w:lang w:eastAsia="ar-SA"/>
        </w:rPr>
      </w:pPr>
      <w:r>
        <w:rPr>
          <w:rFonts w:cs="Arial" w:ascii="Arial" w:hAnsi="Arial"/>
          <w:sz w:val="20"/>
          <w:szCs w:val="20"/>
        </w:rPr>
        <w:t>Somente haverá a necessidade de comprovação do preenchimento de requisitos mediante apresentação dos documentos originais não-digitais quando houver dúvida em relação à integridade do documento digital.</w:t>
      </w:r>
    </w:p>
    <w:p>
      <w:pPr>
        <w:pStyle w:val="ListParagraph"/>
        <w:numPr>
          <w:ilvl w:val="1"/>
          <w:numId w:val="6"/>
        </w:numPr>
        <w:spacing w:lineRule="auto" w:line="276" w:before="120" w:after="120"/>
        <w:contextualSpacing/>
        <w:jc w:val="both"/>
        <w:rPr>
          <w:rFonts w:ascii="Arial" w:hAnsi="Arial" w:cs="Arial"/>
          <w:sz w:val="20"/>
          <w:szCs w:val="20"/>
        </w:rPr>
      </w:pPr>
      <w:r>
        <w:rPr>
          <w:rFonts w:cs="Arial" w:ascii="Arial" w:hAnsi="Arial"/>
          <w:sz w:val="20"/>
          <w:szCs w:val="20"/>
        </w:rPr>
        <w:t>Não serão aceitos documentos de habilitação com indicação de CNPJ/CPF diferentes, salvo aqueles legalmente permitidos.</w:t>
      </w:r>
    </w:p>
    <w:p>
      <w:pPr>
        <w:pStyle w:val="ListParagraph"/>
        <w:numPr>
          <w:ilvl w:val="1"/>
          <w:numId w:val="6"/>
        </w:numPr>
        <w:spacing w:lineRule="auto" w:line="276" w:before="120" w:after="120"/>
        <w:contextualSpacing/>
        <w:jc w:val="both"/>
        <w:rPr>
          <w:rFonts w:ascii="Arial" w:hAnsi="Arial" w:cs="Arial"/>
          <w:sz w:val="20"/>
          <w:szCs w:val="20"/>
        </w:rPr>
      </w:pPr>
      <w:r>
        <w:rPr>
          <w:rFonts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6"/>
        </w:numPr>
        <w:spacing w:lineRule="auto" w:line="276" w:before="120" w:after="120"/>
        <w:contextualSpacing/>
        <w:jc w:val="both"/>
        <w:rPr>
          <w:rFonts w:ascii="Arial" w:hAnsi="Arial" w:cs="Arial"/>
          <w:sz w:val="20"/>
          <w:szCs w:val="20"/>
        </w:rPr>
      </w:pPr>
      <w:r>
        <w:rPr>
          <w:rFonts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6"/>
        </w:numPr>
        <w:spacing w:lineRule="auto" w:line="276" w:before="120" w:after="120"/>
        <w:contextualSpacing/>
        <w:jc w:val="both"/>
        <w:rPr>
          <w:rFonts w:ascii="Arial" w:hAnsi="Arial" w:cs="Arial"/>
          <w:sz w:val="20"/>
          <w:szCs w:val="20"/>
        </w:rPr>
      </w:pPr>
      <w:r>
        <w:rPr>
          <w:rFonts w:cs="Arial" w:ascii="Arial" w:hAnsi="Arial"/>
          <w:sz w:val="20"/>
          <w:szCs w:val="20"/>
        </w:rPr>
        <w:t>Ressalvado o disposto no item 5.3, os licitantes deverão encaminhar, nos termos deste Edital, a documentação relacionada nos itens a seguir, para fins de habilitação:</w:t>
      </w:r>
    </w:p>
    <w:p>
      <w:pPr>
        <w:pStyle w:val="Normal"/>
        <w:spacing w:lineRule="auto" w:line="276" w:before="120" w:after="120"/>
        <w:jc w:val="both"/>
        <w:rPr>
          <w:rFonts w:ascii="Arial" w:hAnsi="Arial" w:cs="Arial"/>
          <w:sz w:val="20"/>
          <w:szCs w:val="20"/>
          <w:lang w:eastAsia="ar-SA"/>
        </w:rPr>
      </w:pPr>
      <w:r>
        <w:rPr>
          <w:rFonts w:cs="Arial" w:ascii="Arial" w:hAnsi="Arial"/>
          <w:sz w:val="20"/>
          <w:szCs w:val="20"/>
          <w:lang w:eastAsia="ar-SA"/>
        </w:rPr>
      </w:r>
    </w:p>
    <w:p>
      <w:pPr>
        <w:pStyle w:val="ListParagraph"/>
        <w:numPr>
          <w:ilvl w:val="0"/>
          <w:numId w:val="0"/>
        </w:numPr>
        <w:spacing w:lineRule="auto" w:line="276" w:before="120" w:after="120"/>
        <w:ind w:left="1719" w:hanging="0"/>
        <w:contextualSpacing/>
        <w:jc w:val="both"/>
        <w:rPr>
          <w:rFonts w:ascii="Arial" w:hAnsi="Arial" w:cs="Arial"/>
          <w:b/>
          <w:b/>
          <w:bCs/>
          <w:color w:val="000000"/>
          <w:sz w:val="20"/>
          <w:szCs w:val="20"/>
        </w:rPr>
      </w:pPr>
      <w:r>
        <w:rPr>
          <w:rFonts w:cs="Arial" w:ascii="Arial" w:hAnsi="Arial"/>
          <w:b/>
          <w:bCs/>
          <w:color w:val="000000"/>
          <w:sz w:val="20"/>
          <w:szCs w:val="20"/>
        </w:rPr>
        <w:t xml:space="preserve">9.8 Habilitação jurídica: </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numPr>
          <w:ilvl w:val="0"/>
          <w:numId w:val="0"/>
        </w:numPr>
        <w:spacing w:lineRule="auto" w:line="276" w:before="120" w:after="120"/>
        <w:ind w:left="708" w:hanging="0"/>
        <w:contextualSpacing/>
        <w:jc w:val="both"/>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276" w:before="120" w:after="120"/>
        <w:ind w:left="708" w:hanging="0"/>
        <w:contextualSpacing/>
        <w:jc w:val="both"/>
        <w:rPr>
          <w:rFonts w:ascii="Arial" w:hAnsi="Arial" w:cs="Arial"/>
          <w:bCs/>
          <w:i/>
          <w:i/>
          <w:sz w:val="20"/>
          <w:szCs w:val="20"/>
        </w:rPr>
      </w:pPr>
      <w:r>
        <w:rPr>
          <w:rFonts w:cs="Arial" w:ascii="Arial" w:hAnsi="Arial"/>
          <w:bCs/>
          <w:i/>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numPr>
          <w:ilvl w:val="0"/>
          <w:numId w:val="0"/>
        </w:numPr>
        <w:spacing w:lineRule="auto" w:line="276" w:before="120" w:after="120"/>
        <w:ind w:left="708" w:hanging="0"/>
        <w:contextualSpacing/>
        <w:jc w:val="both"/>
        <w:rPr>
          <w:rFonts w:ascii="Arial" w:hAnsi="Arial" w:cs="Arial"/>
          <w:bCs/>
          <w:i/>
          <w:i/>
          <w:sz w:val="20"/>
          <w:szCs w:val="20"/>
        </w:rPr>
      </w:pPr>
      <w:r>
        <w:rPr>
          <w:rFonts w:cs="Arial" w:ascii="Arial" w:hAnsi="Arial"/>
          <w:bCs/>
          <w:i/>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9.8.9 No caso de empresa ou sociedade estrangeira em funcionamento no País: decreto de autorização;</w:t>
      </w:r>
    </w:p>
    <w:p>
      <w:pPr>
        <w:pStyle w:val="ListParagraph"/>
        <w:numPr>
          <w:ilvl w:val="0"/>
          <w:numId w:val="0"/>
        </w:numPr>
        <w:spacing w:lineRule="auto" w:line="276" w:before="120" w:after="120"/>
        <w:ind w:left="708" w:hanging="0"/>
        <w:contextualSpacing/>
        <w:jc w:val="both"/>
        <w:rPr/>
      </w:pPr>
      <w:r>
        <w:rPr>
          <w:rFonts w:cs="Arial" w:ascii="Arial" w:hAnsi="Arial"/>
          <w:bCs/>
          <w:color w:val="000000"/>
          <w:sz w:val="20"/>
          <w:szCs w:val="20"/>
        </w:rPr>
        <w:t>9.8.10 Os documentos acima deverão estar acompanhados de todas as alterações ou da consolidação respectiva;</w:t>
      </w:r>
    </w:p>
    <w:p>
      <w:pPr>
        <w:pStyle w:val="ListParagraph"/>
        <w:numPr>
          <w:ilvl w:val="0"/>
          <w:numId w:val="0"/>
        </w:numPr>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276" w:before="120" w:after="120"/>
        <w:ind w:left="0"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
          <w:b/>
          <w:sz w:val="20"/>
          <w:szCs w:val="20"/>
        </w:rPr>
      </w:pPr>
      <w:r>
        <w:rPr>
          <w:rFonts w:cs="Arial" w:ascii="Arial" w:hAnsi="Arial"/>
          <w:sz w:val="20"/>
          <w:szCs w:val="20"/>
        </w:rPr>
        <w:t>9.9.6  prova de regularidade com a Fazenda Estadual do domicílio ou sede do licitante, relativa à atividade em cujo exercício contrata ou concorre;</w:t>
      </w:r>
    </w:p>
    <w:p>
      <w:pPr>
        <w:pStyle w:val="Normal"/>
        <w:numPr>
          <w:ilvl w:val="0"/>
          <w:numId w:val="0"/>
        </w:numPr>
        <w:tabs>
          <w:tab w:val="left" w:pos="1440" w:leader="none"/>
        </w:tabs>
        <w:snapToGrid w:val="false"/>
        <w:spacing w:lineRule="auto" w:line="276" w:before="120" w:after="120"/>
        <w:ind w:left="708" w:hanging="0"/>
        <w:jc w:val="both"/>
        <w:rPr/>
      </w:pPr>
      <w:r>
        <w:rPr>
          <w:rFonts w:cs="Arial" w:ascii="Arial" w:hAnsi="Arial"/>
          <w:color w:val="000000"/>
          <w:sz w:val="20"/>
          <w:szCs w:val="20"/>
        </w:rPr>
        <w:t xml:space="preserve">9.9.7 caso o 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numPr>
          <w:ilvl w:val="0"/>
          <w:numId w:val="0"/>
        </w:numPr>
        <w:spacing w:lineRule="auto" w:line="276" w:before="120" w:after="120"/>
        <w:ind w:left="0" w:hanging="0"/>
        <w:contextualSpacing/>
        <w:jc w:val="both"/>
        <w:rPr>
          <w:rFonts w:ascii="Arial" w:hAnsi="Arial" w:cs="Arial"/>
          <w:b/>
          <w:b/>
          <w:color w:val="000000"/>
          <w:sz w:val="20"/>
          <w:szCs w:val="20"/>
        </w:rPr>
      </w:pPr>
      <w:r>
        <w:rPr>
          <w:rFonts w:cs="Arial" w:ascii="Arial" w:hAnsi="Arial"/>
          <w:b/>
          <w:color w:val="000000"/>
          <w:sz w:val="20"/>
          <w:szCs w:val="20"/>
        </w:rPr>
        <w:t>9.9 Qualificação  Econômico-Financeira</w:t>
      </w:r>
      <w:r>
        <w:rPr>
          <w:rFonts w:cs="Arial" w:ascii="Arial" w:hAnsi="Arial"/>
          <w:color w:val="000000"/>
          <w:sz w:val="20"/>
          <w:szCs w:val="20"/>
        </w:rPr>
        <w:t>.</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color w:val="000000"/>
          <w:sz w:val="20"/>
          <w:szCs w:val="20"/>
        </w:rPr>
      </w:pPr>
      <w:r>
        <w:rPr>
          <w:rFonts w:cs="Arial" w:ascii="Arial" w:hAnsi="Arial"/>
          <w:color w:val="000000"/>
          <w:sz w:val="20"/>
          <w:szCs w:val="20"/>
        </w:rPr>
        <w:t>9.9.1certidão negativa de falência expedida pelo distribuidor da sede da pessoa jurídica;</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color w:val="000000"/>
          <w:sz w:val="20"/>
          <w:szCs w:val="20"/>
        </w:rPr>
      </w:pPr>
      <w:r>
        <w:rPr>
          <w:rFonts w:cs="Arial" w:ascii="Arial" w:hAnsi="Arial"/>
          <w:color w:val="000000"/>
          <w:sz w:val="20"/>
          <w:szCs w:val="20"/>
        </w:rPr>
        <w:t>9.9.2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2124" w:hanging="0"/>
        <w:contextualSpacing/>
        <w:jc w:val="both"/>
        <w:rPr>
          <w:rFonts w:ascii="Arial" w:hAnsi="Arial" w:cs="Arial"/>
          <w:color w:val="000000"/>
          <w:sz w:val="20"/>
          <w:szCs w:val="20"/>
          <w:lang w:eastAsia="en-US"/>
        </w:rPr>
      </w:pPr>
      <w:r>
        <w:rPr>
          <w:rFonts w:cs="Arial" w:ascii="Arial" w:hAnsi="Arial"/>
          <w:bCs/>
          <w:iCs/>
          <w:color w:val="000000"/>
          <w:sz w:val="20"/>
          <w:szCs w:val="20"/>
        </w:rPr>
        <w:t>9.9.2.1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276" w:before="120" w:after="120"/>
        <w:ind w:left="21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9.9.2.3 no caso de empresa constituída no exercício social vigente, admite-se a apresentação de balanço patrimonial e demonstrações contábeis referentes ao período de existência da sociedade;</w:t>
      </w:r>
    </w:p>
    <w:p>
      <w:pPr>
        <w:pStyle w:val="ListParagraph"/>
        <w:widowControl/>
        <w:numPr>
          <w:ilvl w:val="0"/>
          <w:numId w:val="0"/>
        </w:numPr>
        <w:bidi w:val="0"/>
        <w:spacing w:lineRule="auto" w:line="276" w:before="120" w:after="120"/>
        <w:ind w:left="2124" w:right="0" w:hanging="0"/>
        <w:contextualSpacing/>
        <w:jc w:val="both"/>
        <w:rPr/>
      </w:pPr>
      <w:r>
        <w:rPr>
          <w:rFonts w:cs="Arial" w:ascii="Arial" w:hAnsi="Arial"/>
          <w:color w:val="000000"/>
          <w:sz w:val="20"/>
          <w:szCs w:val="20"/>
          <w:lang w:eastAsia="en-US"/>
        </w:rPr>
        <w:t>9.9.2.4 é admissível o balanço intermediário, se decorrer de lei ou contrato social/estatuto social.</w:t>
      </w:r>
    </w:p>
    <w:p>
      <w:pPr>
        <w:pStyle w:val="ListParagraph"/>
        <w:widowControl/>
        <w:numPr>
          <w:ilvl w:val="0"/>
          <w:numId w:val="0"/>
        </w:numPr>
        <w:bidi w:val="0"/>
        <w:spacing w:lineRule="auto" w:line="276" w:before="120" w:after="120"/>
        <w:ind w:left="2124" w:right="0" w:hanging="0"/>
        <w:contextualSpacing/>
        <w:jc w:val="both"/>
        <w:rPr/>
      </w:pPr>
      <w:r>
        <w:rPr>
          <w:rFonts w:cs="Arial" w:ascii="Arial" w:hAnsi="Arial"/>
          <w:color w:val="000000"/>
          <w:sz w:val="20"/>
          <w:szCs w:val="20"/>
          <w:lang w:eastAsia="en-US"/>
        </w:rPr>
        <w:t>9.9.2.5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left" w:pos="1440" w:leader="none"/>
        </w:tabs>
        <w:snapToGrid w:val="false"/>
        <w:spacing w:lineRule="auto" w:line="276" w:before="120" w:after="120"/>
        <w:ind w:left="708" w:hanging="0"/>
        <w:jc w:val="both"/>
        <w:rPr>
          <w:rFonts w:ascii="Arial" w:hAnsi="Arial" w:cs="Arial"/>
          <w:color w:val="000000"/>
          <w:sz w:val="20"/>
          <w:szCs w:val="20"/>
        </w:rPr>
      </w:pPr>
      <w:r>
        <w:rPr>
          <w:rFonts w:cs="Arial" w:ascii="Arial" w:hAnsi="Arial"/>
          <w:color w:val="000000"/>
          <w:sz w:val="20"/>
          <w:szCs w:val="20"/>
        </w:rPr>
        <w:t>9.9.3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3" w:type="dxa"/>
        <w:tblCellMar>
          <w:top w:w="0" w:type="dxa"/>
          <w:left w:w="12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top w:val="nil"/>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3" w:type="dxa"/>
        <w:tblCellMar>
          <w:top w:w="0" w:type="dxa"/>
          <w:left w:w="128"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3" w:type="dxa"/>
        <w:tblCellMar>
          <w:top w:w="0" w:type="dxa"/>
          <w:left w:w="12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left" w:pos="1440" w:leader="none"/>
        </w:tabs>
        <w:snapToGrid w:val="false"/>
        <w:spacing w:lineRule="auto" w:line="276" w:before="120" w:after="120"/>
        <w:ind w:left="0" w:hanging="0"/>
        <w:jc w:val="both"/>
        <w:rPr>
          <w:rFonts w:ascii="Arial" w:hAnsi="Arial" w:cs="Arial"/>
          <w:i/>
          <w:i/>
          <w:sz w:val="20"/>
          <w:szCs w:val="20"/>
          <w:lang w:eastAsia="en-US"/>
        </w:rPr>
      </w:pPr>
      <w:r>
        <w:rPr>
          <w:rFonts w:cs="Arial" w:ascii="Arial" w:hAnsi="Arial"/>
          <w:bCs/>
          <w:sz w:val="20"/>
          <w:szCs w:val="20"/>
        </w:rPr>
        <w:t xml:space="preserve">9.9.4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Normal"/>
        <w:ind w:left="708" w:hanging="0"/>
        <w:rPr>
          <w:rFonts w:ascii="Arial" w:hAnsi="Arial" w:cs="Arial"/>
          <w:sz w:val="20"/>
          <w:szCs w:val="20"/>
          <w:lang w:eastAsia="en-US"/>
        </w:rPr>
      </w:pPr>
      <w:r>
        <w:rPr>
          <w:rFonts w:cs="Arial" w:ascii="Arial" w:hAnsi="Arial"/>
          <w:sz w:val="20"/>
          <w:szCs w:val="20"/>
          <w:lang w:eastAsia="en-US"/>
        </w:rPr>
      </w:r>
    </w:p>
    <w:p>
      <w:pPr>
        <w:pStyle w:val="ListParagraph"/>
        <w:numPr>
          <w:ilvl w:val="0"/>
          <w:numId w:val="0"/>
        </w:numPr>
        <w:spacing w:lineRule="auto" w:line="360" w:before="177" w:after="177"/>
        <w:ind w:left="0" w:hanging="0"/>
        <w:contextualSpacing/>
        <w:jc w:val="both"/>
        <w:rPr/>
      </w:pPr>
      <w:r>
        <w:rPr>
          <w:rFonts w:cs="Arial" w:ascii="Arial" w:hAnsi="Arial"/>
          <w:b/>
          <w:color w:val="000000"/>
          <w:sz w:val="20"/>
          <w:szCs w:val="20"/>
        </w:rPr>
        <w:t>9.10 Qualificação</w:t>
      </w:r>
      <w:r>
        <w:rPr>
          <w:rFonts w:cs="Arial" w:ascii="Arial" w:hAnsi="Arial"/>
          <w:b/>
          <w:bCs/>
          <w:iCs/>
          <w:color w:val="000000"/>
          <w:sz w:val="20"/>
          <w:szCs w:val="20"/>
        </w:rPr>
        <w:t xml:space="preserve"> Técnica   </w:t>
      </w:r>
    </w:p>
    <w:p>
      <w:pPr>
        <w:pStyle w:val="ListParagraph"/>
        <w:numPr>
          <w:ilvl w:val="0"/>
          <w:numId w:val="0"/>
        </w:numPr>
        <w:tabs>
          <w:tab w:val="left" w:pos="1440" w:leader="none"/>
        </w:tabs>
        <w:snapToGrid w:val="false"/>
        <w:spacing w:lineRule="auto" w:line="276" w:before="120" w:after="120"/>
        <w:ind w:left="708" w:hanging="0"/>
        <w:contextualSpacing/>
        <w:jc w:val="both"/>
        <w:rPr/>
      </w:pPr>
      <w:r>
        <w:rPr>
          <w:rFonts w:cs="Arial" w:ascii="Arial" w:hAnsi="Arial"/>
          <w:color w:val="000000"/>
          <w:sz w:val="20"/>
          <w:szCs w:val="20"/>
        </w:rPr>
        <w:t>9.10.1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0"/>
          <w:numId w:val="0"/>
        </w:numPr>
        <w:tabs>
          <w:tab w:val="left" w:pos="1440" w:leader="none"/>
        </w:tabs>
        <w:snapToGrid w:val="false"/>
        <w:spacing w:lineRule="auto" w:line="276" w:before="120" w:after="120"/>
        <w:ind w:left="21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left" w:pos="1440" w:leader="none"/>
        </w:tabs>
        <w:snapToGrid w:val="false"/>
        <w:spacing w:lineRule="auto" w:line="276" w:before="120" w:after="120"/>
        <w:ind w:left="708" w:hanging="0"/>
        <w:contextualSpacing/>
        <w:jc w:val="both"/>
        <w:rPr>
          <w:rFonts w:ascii="Arial" w:hAnsi="Arial" w:cs="Arial"/>
          <w:b/>
          <w:b/>
          <w:bCs/>
          <w:sz w:val="20"/>
          <w:szCs w:val="20"/>
        </w:rPr>
      </w:pPr>
      <w:r>
        <w:rPr>
          <w:rFonts w:cs="Arial" w:ascii="Arial" w:hAnsi="Arial"/>
          <w:bCs/>
          <w:sz w:val="20"/>
          <w:szCs w:val="20"/>
        </w:rPr>
        <w:t>9.10.2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0"/>
          <w:numId w:val="0"/>
        </w:numPr>
        <w:tabs>
          <w:tab w:val="left" w:pos="1440" w:leader="none"/>
        </w:tabs>
        <w:snapToGrid w:val="false"/>
        <w:spacing w:lineRule="auto" w:line="276" w:before="120" w:after="120"/>
        <w:ind w:left="708" w:hanging="0"/>
        <w:contextualSpacing/>
        <w:jc w:val="both"/>
        <w:rPr>
          <w:rFonts w:ascii="Arial" w:hAnsi="Arial" w:cs="Arial"/>
          <w:bCs/>
          <w:color w:val="000000"/>
          <w:sz w:val="20"/>
          <w:szCs w:val="20"/>
        </w:rPr>
      </w:pPr>
      <w:r>
        <w:rPr>
          <w:rFonts w:cs="Arial" w:ascii="Arial" w:hAnsi="Arial"/>
          <w:bCs/>
          <w:color w:val="000000"/>
          <w:sz w:val="20"/>
          <w:szCs w:val="20"/>
        </w:rPr>
        <w:t>9.10.3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0"/>
          <w:numId w:val="0"/>
        </w:numPr>
        <w:spacing w:lineRule="auto" w:line="276" w:before="120" w:after="120"/>
        <w:ind w:left="1416" w:hanging="0"/>
        <w:contextualSpacing/>
        <w:jc w:val="both"/>
        <w:rPr/>
      </w:pPr>
      <w:r>
        <w:rPr>
          <w:rFonts w:cs="Arial" w:ascii="Arial" w:hAnsi="Arial"/>
          <w:bCs/>
          <w:color w:val="000000"/>
          <w:sz w:val="20"/>
          <w:szCs w:val="20"/>
        </w:rPr>
        <w:t>9.10.3.1  A declaração do vencedor acontecerá no momento imediatamente posterior à fase de habilitação.</w:t>
      </w:r>
    </w:p>
    <w:p>
      <w:pPr>
        <w:pStyle w:val="ListParagraph"/>
        <w:numPr>
          <w:ilvl w:val="0"/>
          <w:numId w:val="0"/>
        </w:numPr>
        <w:spacing w:lineRule="auto" w:line="276" w:before="120" w:after="120"/>
        <w:ind w:left="708" w:hanging="0"/>
        <w:contextualSpacing/>
        <w:jc w:val="both"/>
        <w:rPr/>
      </w:pPr>
      <w:r>
        <w:rPr>
          <w:rFonts w:cs="Arial" w:ascii="Arial" w:hAnsi="Arial"/>
          <w:bCs/>
          <w:sz w:val="20"/>
          <w:szCs w:val="20"/>
        </w:rPr>
        <w:t xml:space="preserve">9.10.4 Caso a </w:t>
      </w:r>
      <w:r>
        <w:rPr>
          <w:rFonts w:cs="Arial" w:ascii="Arial" w:hAnsi="Arial"/>
          <w:bCs/>
          <w:color w:val="000000"/>
          <w:sz w:val="20"/>
          <w:szCs w:val="2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w:t>
      </w:r>
      <w:r>
        <w:rPr>
          <w:rFonts w:cs="Arial" w:ascii="Arial" w:hAnsi="Arial"/>
          <w:bCs/>
          <w:color w:val="000000"/>
          <w:sz w:val="20"/>
          <w:szCs w:val="20"/>
          <w:highlight w:val="yellow"/>
        </w:rPr>
        <w:t>de 2 (dois) dias úteis,</w:t>
      </w:r>
      <w:r>
        <w:rPr>
          <w:rFonts w:cs="Arial" w:ascii="Arial" w:hAnsi="Arial"/>
          <w:bCs/>
          <w:color w:val="000000"/>
          <w:sz w:val="20"/>
          <w:szCs w:val="20"/>
        </w:rPr>
        <w:t xml:space="preserve">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276" w:before="120" w:after="120"/>
        <w:ind w:left="708" w:hanging="0"/>
        <w:contextualSpacing/>
        <w:jc w:val="both"/>
        <w:rPr/>
      </w:pPr>
      <w:r>
        <w:rPr>
          <w:rFonts w:cs="Arial" w:ascii="Arial" w:hAnsi="Arial"/>
          <w:bCs/>
          <w:color w:val="000000"/>
          <w:sz w:val="20"/>
          <w:szCs w:val="20"/>
        </w:rPr>
        <w:t>9.10.5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numPr>
          <w:ilvl w:val="0"/>
          <w:numId w:val="0"/>
        </w:numPr>
        <w:spacing w:lineRule="auto" w:line="276" w:before="120" w:after="120"/>
        <w:ind w:left="708" w:hanging="0"/>
        <w:contextualSpacing/>
        <w:jc w:val="both"/>
        <w:rPr/>
      </w:pPr>
      <w:r>
        <w:rPr>
          <w:rFonts w:cs="Arial" w:ascii="Arial" w:hAnsi="Arial"/>
          <w:color w:val="000000"/>
          <w:sz w:val="20"/>
          <w:szCs w:val="20"/>
        </w:rPr>
        <w:t>9.10.6 Havendo necessidade de analisar minuciosamente os documentos exigidos, o Pregoeiro suspenderá a sessão, informando no “chat” a nova data e horário para a continuidade da mesma.</w:t>
      </w:r>
    </w:p>
    <w:p>
      <w:pPr>
        <w:pStyle w:val="ListParagraph"/>
        <w:numPr>
          <w:ilvl w:val="0"/>
          <w:numId w:val="0"/>
        </w:numPr>
        <w:spacing w:lineRule="auto" w:line="276" w:before="120" w:after="120"/>
        <w:ind w:left="708" w:hanging="0"/>
        <w:contextualSpacing/>
        <w:jc w:val="both"/>
        <w:rPr/>
      </w:pPr>
      <w:r>
        <w:rPr>
          <w:rFonts w:cs="Arial" w:ascii="Arial" w:hAnsi="Arial"/>
          <w:color w:val="000000"/>
          <w:sz w:val="20"/>
          <w:szCs w:val="20"/>
        </w:rPr>
        <w:t>9.10.7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tabs>
          <w:tab w:val="left" w:pos="2190" w:leader="none"/>
        </w:tabs>
        <w:spacing w:lineRule="auto" w:line="276" w:before="120" w:after="120"/>
        <w:ind w:left="708" w:hanging="0"/>
        <w:contextualSpacing/>
        <w:jc w:val="both"/>
        <w:rPr/>
      </w:pPr>
      <w:r>
        <w:rPr>
          <w:rFonts w:cs="Arial" w:ascii="Arial" w:hAnsi="Arial"/>
          <w:color w:val="000000"/>
          <w:sz w:val="20"/>
          <w:szCs w:val="20"/>
        </w:rPr>
        <w:t>9.10.8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t>9.16 Constatado o atendimento às exigências de habilitação fixadas no Edital, o licitante será declarado vencedor.</w:t>
      </w:r>
    </w:p>
    <w:p>
      <w:pPr>
        <w:pStyle w:val="Nivel01"/>
        <w:numPr>
          <w:ilvl w:val="0"/>
          <w:numId w:val="2"/>
        </w:numPr>
        <w:ind w:left="708" w:hanging="0"/>
        <w:rPr>
          <w:rFonts w:ascii="Arial" w:hAnsi="Arial" w:cs="Arial"/>
          <w:i/>
          <w:i/>
          <w:color w:val="00000A"/>
          <w:lang w:eastAsia="en-US"/>
        </w:rPr>
      </w:pPr>
      <w:r>
        <w:rPr>
          <w:rFonts w:cs="Arial" w:ascii="Arial" w:hAnsi="Arial"/>
          <w:i/>
          <w:color w:val="00000A"/>
          <w:lang w:eastAsia="en-US"/>
        </w:rPr>
        <w:t xml:space="preserve">DO </w:t>
      </w:r>
      <w:r>
        <w:rPr>
          <w:rFonts w:cs="Arial" w:ascii="Arial" w:hAnsi="Arial"/>
          <w:i/>
          <w:color w:val="00000A"/>
        </w:rPr>
        <w:t>ENCAMINHAMENTO</w:t>
      </w:r>
      <w:r>
        <w:rPr>
          <w:rFonts w:cs="Arial" w:ascii="Arial" w:hAnsi="Arial"/>
          <w:i/>
          <w:color w:val="00000A"/>
          <w:lang w:eastAsia="en-US"/>
        </w:rPr>
        <w:t xml:space="preserve"> DA PROPOSTA VENCEDORA</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sz w:val="20"/>
          <w:szCs w:val="20"/>
        </w:rPr>
        <w:t>A proposta final do licitante declarado vencedor deverá ser encaminhada no prazo de 02</w:t>
      </w:r>
      <w:r>
        <w:rPr>
          <w:rFonts w:cs="Arial" w:ascii="Arial" w:hAnsi="Arial"/>
          <w:bCs/>
          <w:sz w:val="20"/>
          <w:szCs w:val="20"/>
        </w:rPr>
        <w:t xml:space="preserve"> (duas) horas, </w:t>
      </w:r>
      <w:r>
        <w:rPr>
          <w:rFonts w:cs="Arial" w:ascii="Arial" w:hAnsi="Arial"/>
          <w:sz w:val="20"/>
          <w:szCs w:val="20"/>
        </w:rPr>
        <w:t>a contar da solicitação do Pregoeiro no sistema eletrônico e deverá:</w:t>
      </w:r>
    </w:p>
    <w:p>
      <w:pPr>
        <w:pStyle w:val="Normal"/>
        <w:numPr>
          <w:ilvl w:val="2"/>
          <w:numId w:val="2"/>
        </w:numPr>
        <w:spacing w:lineRule="auto" w:line="276" w:before="120" w:after="120"/>
        <w:ind w:left="708" w:hanging="0"/>
        <w:jc w:val="both"/>
        <w:rPr>
          <w:rFonts w:ascii="Arial" w:hAnsi="Arial" w:cs="Arial"/>
          <w:sz w:val="20"/>
          <w:szCs w:val="20"/>
        </w:rPr>
      </w:pPr>
      <w:r>
        <w:rPr>
          <w:rFonts w:cs="Arial" w:ascii="Arial" w:hAnsi="Arial"/>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2"/>
        </w:numPr>
        <w:spacing w:lineRule="auto" w:line="276" w:before="120" w:after="120"/>
        <w:ind w:left="708" w:hanging="0"/>
        <w:jc w:val="both"/>
        <w:rPr>
          <w:rFonts w:ascii="Arial" w:hAnsi="Arial" w:cs="Arial"/>
          <w:sz w:val="20"/>
          <w:szCs w:val="20"/>
        </w:rPr>
      </w:pPr>
      <w:r>
        <w:rPr>
          <w:rFonts w:cs="Arial" w:ascii="Arial" w:hAnsi="Arial"/>
          <w:sz w:val="20"/>
          <w:szCs w:val="20"/>
        </w:rPr>
        <w:t>conter a indicação do banco, número da conta e agência do licitante vencedor, para fins de pagamento.</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2"/>
        </w:numPr>
        <w:spacing w:lineRule="auto" w:line="276" w:before="120" w:after="120"/>
        <w:ind w:left="708" w:hanging="0"/>
        <w:jc w:val="both"/>
        <w:rPr>
          <w:rFonts w:ascii="Arial" w:hAnsi="Arial" w:cs="Arial"/>
          <w:sz w:val="20"/>
          <w:szCs w:val="20"/>
        </w:rPr>
      </w:pPr>
      <w:r>
        <w:rPr>
          <w:rFonts w:cs="Arial" w:ascii="Arial" w:hAnsi="Arial"/>
          <w:sz w:val="20"/>
          <w:szCs w:val="20"/>
        </w:rPr>
        <w:t>Todas as especificações do objeto contidas na proposta, tais como marca, modelo, tipo, fabricante e procedência, vinculam a Contratada.</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numPr>
          <w:ilvl w:val="2"/>
          <w:numId w:val="2"/>
        </w:numPr>
        <w:spacing w:lineRule="auto" w:line="276" w:before="120" w:after="120"/>
        <w:ind w:left="708" w:hanging="0"/>
        <w:jc w:val="both"/>
        <w:rPr>
          <w:rFonts w:ascii="Arial" w:hAnsi="Arial" w:cs="Arial"/>
          <w:sz w:val="20"/>
          <w:szCs w:val="20"/>
        </w:rPr>
      </w:pP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ListParagraph"/>
        <w:numPr>
          <w:ilvl w:val="1"/>
          <w:numId w:val="2"/>
        </w:numPr>
        <w:spacing w:lineRule="auto" w:line="276" w:before="120" w:after="120"/>
        <w:ind w:left="708" w:hanging="432"/>
        <w:contextualSpacing/>
        <w:jc w:val="both"/>
        <w:rPr>
          <w:rFonts w:ascii="Arial" w:hAnsi="Arial" w:cs="Arial"/>
          <w:sz w:val="20"/>
          <w:szCs w:val="20"/>
        </w:rPr>
      </w:pPr>
      <w:r>
        <w:rPr>
          <w:rFonts w:cs="Arial" w:ascii="Arial" w:hAnsi="Arial"/>
          <w:color w:val="000000"/>
          <w:sz w:val="20"/>
          <w:szCs w:val="20"/>
        </w:rPr>
        <w:t>As propostas que contenham a descrição do objeto, o valor e os documentos complementares estarão disponíveis na internet, após a homologação.</w:t>
      </w:r>
    </w:p>
    <w:p>
      <w:pPr>
        <w:pStyle w:val="ListParagraph"/>
        <w:spacing w:lineRule="auto" w:line="276" w:before="120" w:after="120"/>
        <w:ind w:left="708" w:hanging="0"/>
        <w:contextualSpacing/>
        <w:jc w:val="both"/>
        <w:rPr>
          <w:rFonts w:ascii="Arial" w:hAnsi="Arial" w:cs="Arial"/>
          <w:i/>
          <w:i/>
          <w:sz w:val="20"/>
          <w:szCs w:val="20"/>
        </w:rPr>
      </w:pPr>
      <w:r>
        <w:rPr>
          <w:rFonts w:cs="Arial" w:ascii="Arial" w:hAnsi="Arial"/>
          <w:i/>
          <w:sz w:val="20"/>
          <w:szCs w:val="20"/>
        </w:rPr>
      </w:r>
    </w:p>
    <w:p>
      <w:pPr>
        <w:pStyle w:val="Nivel01"/>
        <w:numPr>
          <w:ilvl w:val="0"/>
          <w:numId w:val="2"/>
        </w:numPr>
        <w:ind w:left="0" w:hanging="0"/>
        <w:rPr>
          <w:rFonts w:ascii="Arial" w:hAnsi="Arial" w:cs="Arial"/>
          <w:lang w:eastAsia="en-US"/>
        </w:rPr>
      </w:pPr>
      <w:r>
        <w:rPr>
          <w:rFonts w:cs="Arial" w:ascii="Arial" w:hAnsi="Arial"/>
          <w:lang w:eastAsia="en-US"/>
        </w:rPr>
        <w:t>DOS RECURSOS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sz w:val="20"/>
          <w:szCs w:val="20"/>
          <w:u w:val="single"/>
        </w:rPr>
      </w:pPr>
      <w:r>
        <w:rPr>
          <w:rFonts w:cs="Arial" w:ascii="Arial" w:hAnsi="Arial"/>
          <w:sz w:val="20"/>
          <w:szCs w:val="20"/>
        </w:rPr>
        <w:t>A falta de manifestação motivada do licitante quanto à intenção de recorrer importará a decadência desse direito.</w:t>
      </w:r>
    </w:p>
    <w:p>
      <w:pPr>
        <w:pStyle w:val="Normal"/>
        <w:numPr>
          <w:ilvl w:val="2"/>
          <w:numId w:val="2"/>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sz w:val="20"/>
          <w:szCs w:val="20"/>
        </w:rPr>
        <w:t xml:space="preserve">Uma vez admitido </w:t>
      </w:r>
      <w:r>
        <w:rPr>
          <w:rFonts w:cs="Arial" w:ascii="Arial" w:hAnsi="Arial"/>
          <w:color w:val="000000"/>
          <w:sz w:val="20"/>
          <w:szCs w:val="20"/>
        </w:rPr>
        <w:t xml:space="preserve">o recurso, o recorrente terá, a partir de então, o prazo de </w:t>
      </w:r>
      <w:r>
        <w:rPr>
          <w:rFonts w:cs="Arial" w:ascii="Arial" w:hAnsi="Arial"/>
          <w:color w:val="000000"/>
          <w:sz w:val="20"/>
          <w:szCs w:val="20"/>
          <w:highlight w:val="yellow"/>
        </w:rPr>
        <w:t>um dia</w:t>
      </w:r>
      <w:r>
        <w:rPr>
          <w:rFonts w:cs="Arial" w:ascii="Arial" w:hAnsi="Arial"/>
          <w:color w:val="000000"/>
          <w:sz w:val="20"/>
          <w:szCs w:val="20"/>
        </w:rPr>
        <w:t xml:space="preserve"> para apresentar as razões, pelo sistema eletrônico, ficando os demais licitantes, desde logo, intimados para, querendo, apresentarem contrarrazões também pelo sistema eletrônico, </w:t>
      </w:r>
      <w:r>
        <w:rPr>
          <w:rFonts w:cs="Arial" w:ascii="Arial" w:hAnsi="Arial"/>
          <w:color w:val="000000"/>
          <w:sz w:val="20"/>
          <w:szCs w:val="20"/>
          <w:highlight w:val="yellow"/>
        </w:rPr>
        <w:t>em um dia, que começará</w:t>
      </w:r>
      <w:r>
        <w:rPr>
          <w:rFonts w:cs="Arial" w:ascii="Arial" w:hAnsi="Arial"/>
          <w:color w:val="000000"/>
          <w:sz w:val="20"/>
          <w:szCs w:val="20"/>
        </w:rPr>
        <w:t xml:space="preserve"> a contar do término do prazo do recorrente, sendo-lhes assegurada vista imediata dos elementos indispensáveis à defesa de seus interesses.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acolhimento do recurso invalida tão somente os atos insuscetíveis de aproveitamento.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highlight w:val="yellow"/>
        </w:rPr>
      </w:pPr>
      <w:r>
        <w:rPr>
          <w:rFonts w:cs="Arial" w:ascii="Arial" w:hAnsi="Arial"/>
          <w:color w:val="000000"/>
          <w:sz w:val="20"/>
          <w:szCs w:val="20"/>
          <w:highlight w:val="yellow"/>
        </w:rPr>
        <w:t>Os recursos apresentados somente terão efeito devolutivo e não suspenderão as decisões recorridas.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autos do processo permanecerão com vista franqueada aos interessados, no endereço constante neste Edital.</w:t>
      </w:r>
    </w:p>
    <w:p>
      <w:pPr>
        <w:pStyle w:val="Nivel01"/>
        <w:numPr>
          <w:ilvl w:val="0"/>
          <w:numId w:val="2"/>
        </w:numPr>
        <w:ind w:left="0" w:hanging="0"/>
        <w:rPr>
          <w:rFonts w:ascii="Arial" w:hAnsi="Arial" w:cs="Arial"/>
          <w:lang w:eastAsia="en-US"/>
        </w:rPr>
      </w:pPr>
      <w:r>
        <w:rPr>
          <w:rFonts w:cs="Arial" w:ascii="Arial" w:hAnsi="Arial"/>
          <w:lang w:eastAsia="en-US"/>
        </w:rPr>
        <w:t>DA REABERTURA DA SESSÃO PÚBLICA</w:t>
      </w:r>
    </w:p>
    <w:p>
      <w:pPr>
        <w:pStyle w:val="Nivel01"/>
        <w:keepNext/>
        <w:keepLines w:val="false"/>
        <w:numPr>
          <w:ilvl w:val="1"/>
          <w:numId w:val="2"/>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sessão pública poderá ser reaberta:</w:t>
      </w:r>
    </w:p>
    <w:p>
      <w:pPr>
        <w:pStyle w:val="Nivel01"/>
        <w:keepNext/>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1"/>
          <w:numId w:val="2"/>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Todos os licitantes remanescentes deverão ser convocados para acompanhar a sessão reaberta.</w:t>
      </w:r>
    </w:p>
    <w:p>
      <w:pPr>
        <w:pStyle w:val="Nivel01"/>
        <w:keepNext/>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se dará por meio do sistema eletrônico (“chat”), e-mail, de acordo com a fase do procedimento licitatório.</w:t>
      </w:r>
    </w:p>
    <w:p>
      <w:pPr>
        <w:pStyle w:val="Nivel01"/>
        <w:keepNext/>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feita por e-mail dar-se-á de acordo com os dados contidos no SICAF, sendo responsabilidade do licitante manter seus dados cadastrais atualizados.</w:t>
      </w:r>
    </w:p>
    <w:p>
      <w:pPr>
        <w:pStyle w:val="Nivel01"/>
        <w:numPr>
          <w:ilvl w:val="0"/>
          <w:numId w:val="2"/>
        </w:numPr>
        <w:ind w:left="0" w:hanging="0"/>
        <w:rPr>
          <w:rFonts w:ascii="Arial" w:hAnsi="Arial" w:cs="Arial"/>
        </w:rPr>
      </w:pPr>
      <w:r>
        <w:rPr>
          <w:rFonts w:cs="Arial" w:ascii="Arial" w:hAnsi="Arial"/>
        </w:rPr>
        <w:t xml:space="preserve">DA ADJUDICAÇÃO E HOMOLOGAÇÃO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ind w:left="0" w:hanging="0"/>
        <w:rPr>
          <w:rFonts w:ascii="Arial" w:hAnsi="Arial" w:cs="Arial"/>
          <w:color w:val="00000A"/>
        </w:rPr>
      </w:pPr>
      <w:r>
        <w:rPr>
          <w:rFonts w:cs="Arial" w:ascii="Arial" w:hAnsi="Arial"/>
          <w:color w:val="00000A"/>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numPr>
          <w:ilvl w:val="1"/>
          <w:numId w:val="2"/>
        </w:numPr>
        <w:spacing w:lineRule="auto" w:line="276" w:before="120" w:after="120"/>
        <w:ind w:left="425" w:hanging="0"/>
        <w:contextualSpacing/>
        <w:jc w:val="both"/>
        <w:rPr>
          <w:rFonts w:ascii="Arial" w:hAnsi="Arial" w:cs="Arial"/>
          <w:color w:val="FF0000"/>
          <w:sz w:val="20"/>
          <w:szCs w:val="20"/>
        </w:rPr>
      </w:pPr>
      <w:r>
        <w:rPr>
          <w:rFonts w:cs="Arial" w:ascii="Arial" w:hAnsi="Arial"/>
          <w:sz w:val="20"/>
          <w:szCs w:val="20"/>
        </w:rPr>
        <w:t>Não haverá exigência de garantia de execução para a presente contratação</w:t>
      </w:r>
      <w:r>
        <w:rPr>
          <w:rFonts w:cs="Arial" w:ascii="Arial" w:hAnsi="Arial"/>
          <w:color w:val="FF0000"/>
          <w:sz w:val="20"/>
          <w:szCs w:val="20"/>
        </w:rPr>
        <w:t>.</w:t>
      </w:r>
    </w:p>
    <w:p>
      <w:pPr>
        <w:pStyle w:val="ListParagraph"/>
        <w:numPr>
          <w:ilvl w:val="0"/>
          <w:numId w:val="4"/>
        </w:numPr>
        <w:spacing w:lineRule="auto" w:line="276" w:before="120" w:after="120"/>
        <w:contextualSpacing/>
        <w:jc w:val="both"/>
        <w:rPr>
          <w:rFonts w:ascii="Arial" w:hAnsi="Arial" w:cs="Arial"/>
          <w:vanish/>
          <w:color w:val="FF0000"/>
          <w:sz w:val="20"/>
          <w:szCs w:val="20"/>
        </w:rPr>
      </w:pPr>
      <w:r>
        <w:rPr>
          <w:rFonts w:cs="Arial" w:ascii="Arial" w:hAnsi="Arial"/>
          <w:vanish/>
          <w:color w:val="FF0000"/>
          <w:sz w:val="20"/>
          <w:szCs w:val="20"/>
        </w:rPr>
      </w:r>
    </w:p>
    <w:p>
      <w:pPr>
        <w:pStyle w:val="ListParagraph"/>
        <w:numPr>
          <w:ilvl w:val="0"/>
          <w:numId w:val="4"/>
        </w:numPr>
        <w:spacing w:lineRule="auto" w:line="276" w:before="120" w:after="120"/>
        <w:contextualSpacing/>
        <w:jc w:val="both"/>
        <w:rPr>
          <w:rFonts w:ascii="Arial" w:hAnsi="Arial" w:cs="Arial"/>
          <w:vanish/>
          <w:color w:val="FF0000"/>
          <w:sz w:val="20"/>
          <w:szCs w:val="20"/>
        </w:rPr>
      </w:pPr>
      <w:r>
        <w:rPr>
          <w:rFonts w:cs="Arial" w:ascii="Arial" w:hAnsi="Arial"/>
          <w:vanish/>
          <w:color w:val="FF0000"/>
          <w:sz w:val="20"/>
          <w:szCs w:val="20"/>
        </w:rPr>
      </w:r>
    </w:p>
    <w:p>
      <w:pPr>
        <w:pStyle w:val="Nivel01"/>
        <w:numPr>
          <w:ilvl w:val="0"/>
          <w:numId w:val="2"/>
        </w:numPr>
        <w:ind w:left="0" w:hanging="0"/>
        <w:rPr>
          <w:rFonts w:ascii="Arial" w:hAnsi="Arial" w:cs="Arial"/>
          <w:iCs/>
          <w:color w:val="00000A"/>
        </w:rPr>
      </w:pPr>
      <w:r>
        <w:rPr>
          <w:rFonts w:cs="Arial" w:ascii="Arial" w:hAnsi="Arial"/>
          <w:iCs/>
          <w:color w:val="00000A"/>
        </w:rPr>
        <w:t xml:space="preserve">DA GARANTIA CONTRATUAL DOS BENS </w:t>
      </w:r>
    </w:p>
    <w:p>
      <w:pPr>
        <w:pStyle w:val="Nivel01"/>
        <w:numPr>
          <w:ilvl w:val="1"/>
          <w:numId w:val="2"/>
        </w:numPr>
        <w:rPr>
          <w:rFonts w:ascii="Arial" w:hAnsi="Arial" w:cs="Arial"/>
          <w:b w:val="false"/>
          <w:b w:val="false"/>
          <w:iCs/>
          <w:color w:val="00000A"/>
        </w:rPr>
      </w:pPr>
      <w:r>
        <w:rPr>
          <w:rFonts w:cs="Arial" w:ascii="Arial" w:hAnsi="Arial"/>
          <w:iCs/>
          <w:color w:val="00000A"/>
        </w:rPr>
        <w:t xml:space="preserve"> </w:t>
      </w:r>
      <w:r>
        <w:rPr>
          <w:rFonts w:cs="Arial" w:ascii="Arial" w:hAnsi="Arial"/>
          <w:b w:val="false"/>
          <w:iCs/>
          <w:color w:val="00000A"/>
        </w:rPr>
        <w:t>Não haverá exigência de garantia contratual dos bens fornecidos na presente contratação.</w:t>
      </w:r>
    </w:p>
    <w:p>
      <w:pPr>
        <w:pStyle w:val="Nivel01"/>
        <w:numPr>
          <w:ilvl w:val="0"/>
          <w:numId w:val="2"/>
        </w:numPr>
        <w:rPr>
          <w:rFonts w:ascii="Arial" w:hAnsi="Arial" w:cs="Arial"/>
        </w:rPr>
      </w:pPr>
      <w:r>
        <w:rPr>
          <w:rFonts w:cs="Arial" w:ascii="Arial" w:hAnsi="Arial"/>
        </w:rPr>
        <w:t>DO TERMO DE CONTRATO OU INSTRUMENTO EQUIVALENTE</w:t>
      </w:r>
    </w:p>
    <w:p>
      <w:pPr>
        <w:pStyle w:val="Nivel01"/>
        <w:numPr>
          <w:ilvl w:val="0"/>
          <w:numId w:val="0"/>
        </w:numPr>
        <w:ind w:left="999" w:hanging="0"/>
        <w:rPr>
          <w:rFonts w:ascii="Arial" w:hAnsi="Arial" w:cs="Arial"/>
          <w:b w:val="false"/>
          <w:b w:val="false"/>
        </w:rPr>
      </w:pPr>
      <w:bookmarkStart w:id="4" w:name="_GoBack"/>
      <w:bookmarkEnd w:id="4"/>
      <w:r>
        <w:rPr>
          <w:rFonts w:eastAsia="Arial" w:cs="Arial" w:ascii="Arial" w:hAnsi="Arial"/>
          <w:b w:val="false"/>
        </w:rPr>
        <w:t>16.1 Após a homologação da licitação, em sendo realizada a contratação, será firmado Termo de Contrato ou emitido instrumento equivalente.</w:t>
      </w:r>
    </w:p>
    <w:p>
      <w:pPr>
        <w:pStyle w:val="Nivel01"/>
        <w:numPr>
          <w:ilvl w:val="0"/>
          <w:numId w:val="0"/>
        </w:numPr>
        <w:ind w:left="999" w:hanging="0"/>
        <w:rPr>
          <w:rFonts w:ascii="Arial" w:hAnsi="Arial" w:eastAsia="Arial" w:cs="Arial"/>
          <w:b w:val="false"/>
          <w:b w:val="false"/>
        </w:rPr>
      </w:pPr>
      <w:r>
        <w:rPr>
          <w:rFonts w:eastAsia="Arial" w:cs="Arial" w:ascii="Arial" w:hAnsi="Arial"/>
          <w:b w:val="false"/>
        </w:rPr>
        <w:t xml:space="preserve">16.2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 xml:space="preserve">16.2.1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16.2.3 O prazo previsto no subitem anterior poderá ser prorrogado, por igual período, por solicitação justificada do adjudicatário e aceita pela Administração.</w:t>
      </w:r>
    </w:p>
    <w:p>
      <w:pPr>
        <w:pStyle w:val="Nivel01"/>
        <w:numPr>
          <w:ilvl w:val="0"/>
          <w:numId w:val="0"/>
        </w:numPr>
        <w:ind w:left="999" w:hanging="0"/>
        <w:rPr>
          <w:rFonts w:ascii="Arial" w:hAnsi="Arial" w:eastAsia="Arial" w:cs="Arial"/>
          <w:b w:val="false"/>
          <w:b w:val="false"/>
        </w:rPr>
      </w:pPr>
      <w:r>
        <w:rPr>
          <w:rFonts w:eastAsia="Arial" w:cs="Arial" w:ascii="Arial" w:hAnsi="Arial"/>
          <w:b w:val="false"/>
        </w:rPr>
        <w:t>16.4 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16.4.1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16.4.2 a contratada se vincula à sua proposta e às previsões contidas no edital e seus anexos;</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16.4.3 a contratada reconhece que as hipóteses de rescisão são aquelas previstas nos artigos 77 e 78 da Lei nº 8.666/93 e reconhece os direitos da Administração previstos nos artigos 79 e 80 da mesma Lei.</w:t>
      </w:r>
    </w:p>
    <w:p>
      <w:pPr>
        <w:pStyle w:val="Nivel01"/>
        <w:numPr>
          <w:ilvl w:val="0"/>
          <w:numId w:val="0"/>
        </w:numPr>
        <w:ind w:left="999" w:hanging="0"/>
        <w:rPr>
          <w:rFonts w:ascii="Arial" w:hAnsi="Arial" w:eastAsia="Arial" w:cs="Arial"/>
          <w:b w:val="false"/>
          <w:b w:val="false"/>
        </w:rPr>
      </w:pPr>
      <w:r>
        <w:rPr>
          <w:rFonts w:eastAsia="Arial" w:cs="Arial" w:ascii="Arial" w:hAnsi="Arial"/>
          <w:b w:val="false"/>
        </w:rPr>
        <w:t xml:space="preserve">16.5 O prazo de vigência da contratação é de 06(seis) meses, prorrogável conforme previsão no instrumento contratual ou no termo de referência. </w:t>
      </w:r>
    </w:p>
    <w:p>
      <w:pPr>
        <w:pStyle w:val="Nivel01"/>
        <w:numPr>
          <w:ilvl w:val="0"/>
          <w:numId w:val="0"/>
        </w:numPr>
        <w:ind w:left="999" w:hanging="0"/>
        <w:rPr>
          <w:rFonts w:ascii="Arial" w:hAnsi="Arial" w:eastAsia="Arial" w:cs="Arial"/>
          <w:b w:val="false"/>
          <w:b w:val="false"/>
        </w:rPr>
      </w:pPr>
      <w:r>
        <w:rPr>
          <w:rFonts w:eastAsia="Arial" w:cs="Arial" w:ascii="Arial" w:hAnsi="Arial"/>
          <w:b w:val="false"/>
        </w:rPr>
        <w:t xml:space="preserve">16.6.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ind w:left="1638" w:hanging="0"/>
        <w:rPr/>
      </w:pPr>
      <w:r>
        <w:rPr>
          <w:rFonts w:eastAsia="Arial" w:cs="Arial" w:ascii="Arial" w:hAnsi="Arial"/>
          <w:b w:val="false"/>
        </w:rPr>
        <w:t>16.6.1 Nos casos em que houver necessidade de assinatura do instrumento de contrato, e o fornecedor não estiver inscrito no SICAF, este deverá proceder ao seu cadastramento, sem ônus, antes da contratação.</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16.6.2 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0"/>
          <w:numId w:val="0"/>
        </w:numPr>
        <w:spacing w:lineRule="auto" w:line="276" w:before="120" w:after="120"/>
        <w:ind w:left="999" w:hanging="0"/>
        <w:jc w:val="both"/>
        <w:rPr>
          <w:rFonts w:ascii="Arial" w:hAnsi="Arial" w:eastAsia="Arial" w:cs="Arial"/>
          <w:color w:val="000000"/>
          <w:sz w:val="20"/>
          <w:szCs w:val="20"/>
        </w:rPr>
      </w:pPr>
      <w:r>
        <w:rPr>
          <w:rFonts w:cs="Arial" w:ascii="Arial" w:hAnsi="Arial"/>
          <w:color w:val="000000"/>
          <w:sz w:val="20"/>
          <w:szCs w:val="20"/>
        </w:rPr>
        <w:t>16.7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rPr>
          <w:rFonts w:ascii="Arial" w:hAnsi="Arial" w:cs="Arial"/>
          <w:b/>
          <w:b/>
          <w:sz w:val="20"/>
          <w:szCs w:val="20"/>
        </w:rPr>
      </w:pPr>
      <w:r>
        <w:rPr>
          <w:rFonts w:cs="Arial" w:ascii="Arial" w:hAnsi="Arial"/>
          <w:b/>
          <w:sz w:val="20"/>
          <w:szCs w:val="20"/>
        </w:rPr>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16.8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numPr>
          <w:ilvl w:val="0"/>
          <w:numId w:val="2"/>
        </w:numPr>
        <w:ind w:left="0" w:hanging="0"/>
        <w:rPr>
          <w:rFonts w:ascii="Arial" w:hAnsi="Arial" w:cs="Arial"/>
        </w:rPr>
      </w:pP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17.1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ind w:left="0" w:hanging="0"/>
        <w:rPr>
          <w:rFonts w:ascii="Arial" w:hAnsi="Arial" w:cs="Arial"/>
        </w:rPr>
      </w:pPr>
      <w:r>
        <w:rPr>
          <w:rFonts w:cs="Arial" w:ascii="Arial" w:hAnsi="Arial"/>
        </w:rPr>
        <w:t>DO RECEBIMENTO DO OBJETO E DA FISCALIZAÇÃO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lang w:eastAsia="en-US"/>
        </w:rPr>
        <w:t>18.1 Os critérios de recebimento e aceitação do objeto e de fiscalização estão previstos no Termo de Referência.</w:t>
      </w:r>
    </w:p>
    <w:p>
      <w:pPr>
        <w:pStyle w:val="Nivel01"/>
        <w:numPr>
          <w:ilvl w:val="0"/>
          <w:numId w:val="2"/>
        </w:numPr>
        <w:ind w:left="0" w:hanging="0"/>
        <w:rPr>
          <w:rFonts w:ascii="Arial" w:hAnsi="Arial" w:cs="Arial"/>
        </w:rPr>
      </w:pPr>
      <w:r>
        <w:rPr>
          <w:rFonts w:cs="Arial" w:ascii="Arial" w:hAnsi="Arial"/>
          <w:lang w:eastAsia="en-US"/>
        </w:rPr>
        <w:t>DAS OBRIGAÇÕES DA CONTRATANTE E DA CONTRATADA</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lang w:eastAsia="en-US"/>
        </w:rPr>
        <w:t>19.1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2"/>
        </w:numPr>
        <w:ind w:left="0" w:hanging="0"/>
        <w:rPr>
          <w:rFonts w:ascii="Arial" w:hAnsi="Arial" w:cs="Arial"/>
        </w:rPr>
      </w:pPr>
      <w:r>
        <w:rPr>
          <w:rFonts w:cs="Arial" w:ascii="Arial" w:hAnsi="Arial"/>
        </w:rPr>
        <w:t>DO PAGAMENTO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20.1 As regras acerca do pagamento são as estabelecidas no Termo de Referência, anexo a este Edital.</w:t>
      </w:r>
    </w:p>
    <w:p>
      <w:pPr>
        <w:pStyle w:val="Nivel01"/>
        <w:numPr>
          <w:ilvl w:val="0"/>
          <w:numId w:val="2"/>
        </w:numPr>
        <w:ind w:left="0" w:hanging="0"/>
        <w:rPr>
          <w:rFonts w:ascii="Arial" w:hAnsi="Arial" w:cs="Arial"/>
        </w:rPr>
      </w:pPr>
      <w:r>
        <w:rPr>
          <w:rFonts w:cs="Arial" w:ascii="Arial" w:hAnsi="Arial"/>
        </w:rPr>
        <w:t>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21.1 Comete infração administrativa, nos termos da Lei nº 10.520, de 2002, o licitante/adjudicatário que: </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highlight w:val="white"/>
        </w:rPr>
      </w:pPr>
      <w:r>
        <w:rPr>
          <w:rFonts w:cs="Arial" w:ascii="Arial" w:hAnsi="Arial"/>
          <w:sz w:val="20"/>
          <w:szCs w:val="20"/>
          <w:shd w:fill="FFFFFF" w:val="clear"/>
        </w:rPr>
        <w:t>21.1.2 não assinar a ata de registro de preços, quando cabível;</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21.1.3 apresentar documentação falsa;</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21.1.4 deixar de entregar os documentos exigidos no certame;</w:t>
      </w:r>
    </w:p>
    <w:p>
      <w:pPr>
        <w:pStyle w:val="Normal"/>
        <w:numPr>
          <w:ilvl w:val="0"/>
          <w:numId w:val="0"/>
        </w:numPr>
        <w:tabs>
          <w:tab w:val="left" w:pos="1440" w:leader="none"/>
        </w:tabs>
        <w:snapToGrid w:val="false"/>
        <w:spacing w:lineRule="auto" w:line="276" w:before="120" w:after="120"/>
        <w:ind w:left="1638" w:hanging="0"/>
        <w:jc w:val="both"/>
        <w:rPr/>
      </w:pPr>
      <w:r>
        <w:rPr>
          <w:rFonts w:cs="Arial" w:ascii="Arial" w:hAnsi="Arial"/>
          <w:sz w:val="20"/>
          <w:szCs w:val="20"/>
          <w:shd w:fill="FFFFFF" w:val="clear"/>
        </w:rPr>
        <w:t xml:space="preserve">21.1.5 </w:t>
      </w:r>
      <w:r>
        <w:rPr>
          <w:rFonts w:cs="Arial" w:ascii="Arial" w:hAnsi="Arial"/>
          <w:sz w:val="20"/>
          <w:szCs w:val="20"/>
        </w:rPr>
        <w:t>ensejar o retardamento da execução do objeto;</w:t>
      </w:r>
    </w:p>
    <w:p>
      <w:pPr>
        <w:pStyle w:val="Normal"/>
        <w:numPr>
          <w:ilvl w:val="0"/>
          <w:numId w:val="0"/>
        </w:numPr>
        <w:tabs>
          <w:tab w:val="left" w:pos="1440" w:leader="none"/>
        </w:tabs>
        <w:snapToGrid w:val="false"/>
        <w:spacing w:lineRule="auto" w:line="276" w:before="120" w:after="120"/>
        <w:ind w:left="1638" w:hanging="0"/>
        <w:jc w:val="both"/>
        <w:rPr/>
      </w:pPr>
      <w:r>
        <w:rPr>
          <w:rFonts w:cs="Arial" w:ascii="Arial" w:hAnsi="Arial"/>
          <w:sz w:val="20"/>
          <w:szCs w:val="20"/>
          <w:shd w:fill="FFFFFF" w:val="clear"/>
        </w:rPr>
        <w:t>21.1.6 não mantiver a proposta;</w:t>
      </w:r>
    </w:p>
    <w:p>
      <w:pPr>
        <w:pStyle w:val="Normal"/>
        <w:numPr>
          <w:ilvl w:val="0"/>
          <w:numId w:val="0"/>
        </w:numPr>
        <w:tabs>
          <w:tab w:val="left" w:pos="1440" w:leader="none"/>
        </w:tabs>
        <w:snapToGrid w:val="false"/>
        <w:spacing w:lineRule="auto" w:line="276" w:before="120" w:after="120"/>
        <w:ind w:left="1638" w:hanging="0"/>
        <w:jc w:val="both"/>
        <w:rPr/>
      </w:pPr>
      <w:r>
        <w:rPr>
          <w:rFonts w:cs="Arial" w:ascii="Arial" w:hAnsi="Arial"/>
          <w:sz w:val="20"/>
          <w:szCs w:val="20"/>
          <w:shd w:fill="FFFFFF" w:val="clear"/>
        </w:rPr>
        <w:t>21.1.7 cometer fraude fiscal;</w:t>
      </w:r>
    </w:p>
    <w:p>
      <w:pPr>
        <w:pStyle w:val="Normal"/>
        <w:numPr>
          <w:ilvl w:val="0"/>
          <w:numId w:val="0"/>
        </w:numPr>
        <w:tabs>
          <w:tab w:val="left" w:pos="1440" w:leader="none"/>
        </w:tabs>
        <w:snapToGrid w:val="false"/>
        <w:spacing w:lineRule="auto" w:line="276" w:before="120" w:after="120"/>
        <w:ind w:left="1638" w:hanging="0"/>
        <w:jc w:val="both"/>
        <w:rPr/>
      </w:pPr>
      <w:r>
        <w:rPr>
          <w:rFonts w:cs="Arial" w:ascii="Arial" w:hAnsi="Arial"/>
          <w:sz w:val="20"/>
          <w:szCs w:val="20"/>
          <w:shd w:fill="FFFFFF" w:val="clear"/>
        </w:rPr>
        <w:t>21.1.8 comportar-se de modo inidôneo;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21.2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21.4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21.4.2 Multa de 10% (dez por cento) 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21.4.3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21.4.4 Impedimento de licitar e de contratar com a União e descredenciamento no SICAF, pelo prazo de até cinco anos;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21.6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21.10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ind w:left="2358" w:hanging="0"/>
        <w:jc w:val="both"/>
        <w:rPr>
          <w:rFonts w:ascii="Arial" w:hAnsi="Arial" w:cs="Arial"/>
          <w:sz w:val="20"/>
          <w:szCs w:val="20"/>
          <w:highlight w:val="yellow"/>
        </w:rPr>
      </w:pPr>
      <w:r>
        <w:rPr>
          <w:rFonts w:cs="Arial" w:ascii="Arial" w:hAnsi="Arial"/>
          <w:sz w:val="20"/>
          <w:szCs w:val="20"/>
          <w:highlight w:val="yellow"/>
          <w:shd w:fill="FFFFFF" w:val="clear"/>
        </w:rPr>
        <w:t>21.11.1 Não correrão os prazos processuais em desfavor da CONTRATADA em processo administrativo para aplicação das sanções deste item enquanto perdurar o estado de calamidade de que trata o Decreto Legislativo nº 6, de 2020, nos termos do art. 6º-C da Lei nº 13.979/20.</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21.12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21.13 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21.14 As sanções por atos praticados no decorrer da contratação estão previstas no Termo de Referência.</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keepNext/>
        <w:keepLines/>
        <w:widowControl/>
        <w:numPr>
          <w:ilvl w:val="0"/>
          <w:numId w:val="2"/>
        </w:numPr>
        <w:tabs>
          <w:tab w:val="left" w:pos="567" w:leader="none"/>
        </w:tabs>
        <w:bidi w:val="0"/>
        <w:spacing w:before="126" w:after="0"/>
        <w:ind w:left="227" w:right="0" w:hanging="0"/>
        <w:jc w:val="both"/>
        <w:rPr/>
      </w:pPr>
      <w:r>
        <w:rPr>
          <w:rFonts w:cs="Arial" w:ascii="Arial" w:hAnsi="Arial"/>
        </w:rPr>
        <w:t>DA IMPUGNAÇÃO AO EDITAL E DO PEDIDO DE ESCLARECIMENTO</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sz w:val="20"/>
          <w:szCs w:val="20"/>
          <w:highlight w:val="yellow"/>
        </w:rPr>
        <w:t xml:space="preserve">22.1 Até </w:t>
      </w:r>
      <w:r>
        <w:rPr>
          <w:rFonts w:cs="Arial" w:ascii="Arial" w:hAnsi="Arial"/>
          <w:color w:val="000000"/>
          <w:sz w:val="20"/>
          <w:szCs w:val="20"/>
          <w:highlight w:val="yellow"/>
        </w:rPr>
        <w:t>01 (um) dia útil</w:t>
      </w:r>
      <w:r>
        <w:rPr>
          <w:rFonts w:cs="Arial" w:ascii="Arial" w:hAnsi="Arial"/>
          <w:color w:val="000000"/>
          <w:sz w:val="20"/>
          <w:szCs w:val="20"/>
        </w:rPr>
        <w:t xml:space="preserve"> antes da data designada para a abertura da sessão pública, qualquer pessoa poderá impugnar este Edital.</w:t>
      </w:r>
    </w:p>
    <w:p>
      <w:pPr>
        <w:pStyle w:val="NormalWeb"/>
        <w:spacing w:beforeAutospacing="0" w:before="0" w:afterAutospacing="0" w:after="0"/>
        <w:ind w:left="0" w:hanging="0"/>
        <w:jc w:val="both"/>
        <w:rPr/>
      </w:pPr>
      <w:r>
        <w:rPr>
          <w:rFonts w:cs="Arial" w:ascii="Arial" w:hAnsi="Arial"/>
          <w:color w:val="000000"/>
          <w:sz w:val="20"/>
          <w:szCs w:val="20"/>
        </w:rPr>
        <w:t>22.2 A impugnação poderá ser realizada por forma eletrônica, pelo e-mail licitacoes@ifsertao-pe.edu.br</w:t>
      </w:r>
      <w:r>
        <w:rPr>
          <w:rFonts w:cs="Arial" w:ascii="Arial" w:hAnsi="Arial"/>
          <w:color w:val="FF0000"/>
          <w:sz w:val="20"/>
          <w:szCs w:val="20"/>
        </w:rPr>
        <w:t>,</w:t>
      </w:r>
      <w:r>
        <w:rPr>
          <w:rFonts w:cs="Arial" w:ascii="Arial" w:hAnsi="Arial"/>
          <w:color w:val="000000"/>
          <w:sz w:val="20"/>
          <w:szCs w:val="20"/>
        </w:rPr>
        <w:t xml:space="preserve"> ou por petição dirigida ou protocolada no endereço </w:t>
      </w:r>
      <w:r>
        <w:rPr>
          <w:rFonts w:cs="Arial" w:ascii="Arial" w:hAnsi="Arial"/>
          <w:color w:val="00000A"/>
          <w:sz w:val="20"/>
          <w:szCs w:val="20"/>
        </w:rPr>
        <w:t xml:space="preserve">Rua Aristarco Lopes, 240, Centro, Petrolina-PE, CEP: 56.302-100. </w:t>
      </w:r>
      <w:r>
        <w:rPr>
          <w:rFonts w:cs="Arial" w:ascii="Arial" w:hAnsi="Arial"/>
          <w:b/>
          <w:bCs/>
          <w:color w:val="00000A"/>
          <w:sz w:val="20"/>
          <w:szCs w:val="20"/>
        </w:rPr>
        <w:t xml:space="preserve">Tel.: </w:t>
      </w:r>
      <w:r>
        <w:rPr>
          <w:rFonts w:cs="Arial" w:ascii="Arial" w:hAnsi="Arial"/>
          <w:color w:val="00000A"/>
          <w:sz w:val="20"/>
          <w:szCs w:val="20"/>
        </w:rPr>
        <w:t>(87) 2101-2350 – Setor DLIC</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t xml:space="preserve">22.3 Caberá ao Pregoeiro, auxiliado pelos responsáveis pela elaboração deste Edital e seus anexos, decidir sobre a impugnação no prazo de até </w:t>
      </w:r>
      <w:r>
        <w:rPr>
          <w:rFonts w:cs="Arial" w:ascii="Arial" w:hAnsi="Arial"/>
          <w:color w:val="000000"/>
          <w:sz w:val="20"/>
          <w:szCs w:val="20"/>
          <w:highlight w:val="yellow"/>
        </w:rPr>
        <w:t>01 (um) dia útil</w:t>
      </w:r>
      <w:r>
        <w:rPr>
          <w:rFonts w:cs="Arial" w:ascii="Arial" w:hAnsi="Arial"/>
          <w:color w:val="000000"/>
          <w:sz w:val="20"/>
          <w:szCs w:val="20"/>
        </w:rPr>
        <w:t xml:space="preserve"> contados da data de recebimento da impugnação.</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t>22.4 Acolhida a impugnação, será definida e publicada nova data para a realização do certame.</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t xml:space="preserve">22.5 Os pedidos de esclarecimentos referentes a este processo licitatório deverão ser enviados ao Pregoeiro, </w:t>
      </w:r>
      <w:r>
        <w:rPr>
          <w:rFonts w:cs="Arial" w:ascii="Arial" w:hAnsi="Arial"/>
          <w:color w:val="000000"/>
          <w:sz w:val="20"/>
          <w:szCs w:val="20"/>
          <w:highlight w:val="yellow"/>
        </w:rPr>
        <w:t>até 01 (um) dia útil</w:t>
      </w:r>
      <w:r>
        <w:rPr>
          <w:rFonts w:cs="Arial" w:ascii="Arial" w:hAnsi="Arial"/>
          <w:color w:val="000000"/>
          <w:sz w:val="20"/>
          <w:szCs w:val="20"/>
        </w:rPr>
        <w:t xml:space="preserve">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22.6 O pregoeiro responderá aos pedidos de esclarecimentos no prazo de </w:t>
      </w:r>
      <w:r>
        <w:rPr>
          <w:rFonts w:cs="Arial" w:ascii="Arial" w:hAnsi="Arial"/>
          <w:color w:val="000000"/>
          <w:sz w:val="20"/>
          <w:szCs w:val="20"/>
          <w:highlight w:val="yellow"/>
        </w:rPr>
        <w:t>01 (um) dia útil,</w:t>
      </w:r>
      <w:r>
        <w:rPr>
          <w:rFonts w:cs="Arial" w:ascii="Arial" w:hAnsi="Arial"/>
          <w:color w:val="000000"/>
          <w:sz w:val="20"/>
          <w:szCs w:val="20"/>
        </w:rPr>
        <w:t xml:space="preserve">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708" w:hanging="0"/>
        <w:contextualSpacing/>
        <w:jc w:val="both"/>
        <w:rPr>
          <w:rFonts w:ascii="Arial" w:hAnsi="Arial" w:cs="Arial"/>
          <w:color w:val="000000"/>
          <w:sz w:val="20"/>
          <w:szCs w:val="20"/>
        </w:rPr>
      </w:pPr>
      <w:r>
        <w:rPr>
          <w:rFonts w:cs="Arial" w:ascii="Arial" w:hAnsi="Arial"/>
          <w:color w:val="000000"/>
          <w:sz w:val="20"/>
          <w:szCs w:val="20"/>
        </w:rPr>
        <w:t>22.7 As impugnações e pedidos de esclarecimentos não suspendem os prazos previstos no certame.</w:t>
      </w:r>
    </w:p>
    <w:p>
      <w:pPr>
        <w:pStyle w:val="Normal"/>
        <w:numPr>
          <w:ilvl w:val="0"/>
          <w:numId w:val="0"/>
        </w:numPr>
        <w:spacing w:lineRule="auto" w:line="276" w:before="120" w:after="120"/>
        <w:ind w:left="708" w:hanging="0"/>
        <w:jc w:val="both"/>
        <w:rPr>
          <w:rFonts w:ascii="Arial" w:hAnsi="Arial" w:cs="Arial"/>
          <w:color w:val="000000"/>
          <w:sz w:val="20"/>
          <w:szCs w:val="20"/>
        </w:rPr>
      </w:pPr>
      <w:r>
        <w:rPr>
          <w:rFonts w:cs="Arial" w:ascii="Arial" w:hAnsi="Arial"/>
          <w:color w:val="000000"/>
          <w:sz w:val="20"/>
          <w:szCs w:val="20"/>
        </w:rPr>
        <w:t>22.7.1 A concessão de efeito suspensivo à impugnação é medida excepcional e deverá ser motivada pelo pregoeiro, nos autos do processo de licitação.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22.8 As respostas aos pedidos de esclarecimentos serão divulgadas pelo sistema e vincularão os participantes e a administração.</w:t>
      </w:r>
    </w:p>
    <w:p>
      <w:pPr>
        <w:pStyle w:val="Nivel01"/>
        <w:numPr>
          <w:ilvl w:val="0"/>
          <w:numId w:val="2"/>
        </w:numPr>
        <w:ind w:left="0" w:hanging="0"/>
        <w:rPr/>
      </w:pPr>
      <w:r>
        <w:rPr>
          <w:rFonts w:cs="Arial" w:ascii="Arial" w:hAnsi="Arial"/>
        </w:rPr>
        <w:t>DAS DISPOSIÇÕES GERAIS</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23.1 Da sessão pública do Pregão divulgar-se-á Ata no sistema eletrônico.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23.3 Todas as referências de tempo no Edital, no aviso e durante a sessão pública observarão o horário de Brasília – DF.</w:t>
      </w:r>
    </w:p>
    <w:p>
      <w:pPr>
        <w:pStyle w:val="Normal"/>
        <w:numPr>
          <w:ilvl w:val="0"/>
          <w:numId w:val="0"/>
        </w:numPr>
        <w:spacing w:lineRule="auto" w:line="276" w:before="120" w:after="120"/>
        <w:ind w:left="0" w:hanging="0"/>
        <w:jc w:val="both"/>
        <w:rPr>
          <w:rFonts w:ascii="Arial" w:hAnsi="Arial" w:cs="Arial"/>
          <w:color w:val="000000" w:themeColor="text1"/>
          <w:sz w:val="20"/>
          <w:szCs w:val="20"/>
        </w:rPr>
      </w:pPr>
      <w:r>
        <w:rPr>
          <w:rFonts w:cs="Arial" w:ascii="Arial" w:hAnsi="Arial"/>
          <w:color w:val="000000" w:themeColor="text1"/>
          <w:sz w:val="20"/>
          <w:szCs w:val="20"/>
        </w:rPr>
        <w:t>23.4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23.5 A homologação do resultado desta licitação não implicará direito à contratação.</w:t>
      </w:r>
    </w:p>
    <w:p>
      <w:pPr>
        <w:pStyle w:val="Normal"/>
        <w:numPr>
          <w:ilvl w:val="0"/>
          <w:numId w:val="0"/>
        </w:numPr>
        <w:spacing w:lineRule="auto" w:line="276" w:before="120" w:after="120"/>
        <w:ind w:left="0" w:hanging="0"/>
        <w:jc w:val="both"/>
        <w:rPr/>
      </w:pPr>
      <w:r>
        <w:rPr>
          <w:rFonts w:cs="Arial" w:ascii="Arial" w:hAnsi="Arial"/>
          <w:color w:val="000000"/>
          <w:sz w:val="20"/>
          <w:szCs w:val="20"/>
        </w:rPr>
        <w:t xml:space="preserve">23.6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23.10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0" w:hanging="0"/>
        <w:jc w:val="both"/>
        <w:rPr/>
      </w:pPr>
      <w:r>
        <w:rPr>
          <w:rFonts w:cs="Arial" w:ascii="Arial" w:hAnsi="Arial"/>
          <w:color w:val="000000"/>
          <w:sz w:val="20"/>
          <w:szCs w:val="20"/>
        </w:rPr>
        <w:t xml:space="preserve">23.11 O Edital está disponibilizado, na íntegra, no endereço eletrônico </w:t>
      </w:r>
      <w:hyperlink r:id="rId6">
        <w:r>
          <w:rPr>
            <w:rStyle w:val="LinkdaInternet"/>
            <w:rFonts w:cs="Arial" w:ascii="Arial" w:hAnsi="Arial"/>
            <w:b/>
            <w:bCs/>
            <w:color w:val="030303"/>
            <w:sz w:val="20"/>
            <w:szCs w:val="20"/>
            <w:lang w:val="pt-PT"/>
          </w:rPr>
          <w:t>www.comprasgovernamentais.gov.br</w:t>
        </w:r>
      </w:hyperlink>
      <w:r>
        <w:rPr>
          <w:rFonts w:cs="Arial" w:ascii="Arial" w:hAnsi="Arial"/>
          <w:color w:val="030303"/>
          <w:sz w:val="20"/>
          <w:szCs w:val="20"/>
          <w:lang w:val="pt-PT"/>
        </w:rPr>
        <w:t xml:space="preserve">, na página do IF Sertão – PE: </w:t>
      </w:r>
      <w:hyperlink r:id="rId7">
        <w:r>
          <w:rPr>
            <w:rStyle w:val="LinkdaInternet"/>
            <w:rFonts w:cs="Arial" w:ascii="Arial" w:hAnsi="Arial"/>
            <w:b/>
            <w:bCs/>
            <w:color w:val="030303"/>
            <w:sz w:val="20"/>
            <w:szCs w:val="20"/>
            <w:lang w:val="pt-PT"/>
          </w:rPr>
          <w:t>www.ifsertao-pe.edu.br/index.php/licitacoes/pregao-eletronico/pregao-rei</w:t>
        </w:r>
      </w:hyperlink>
      <w:r>
        <w:rPr>
          <w:rFonts w:cs="Arial" w:ascii="Arial" w:hAnsi="Arial"/>
          <w:color w:val="030303"/>
          <w:sz w:val="20"/>
          <w:szCs w:val="20"/>
          <w:lang w:val="pt-PT"/>
        </w:rPr>
        <w:t xml:space="preserve"> e também poderão ser lidos e/ou obtidos no endereço</w:t>
      </w:r>
      <w:r>
        <w:rPr>
          <w:rFonts w:cs="Arial" w:ascii="Arial" w:hAnsi="Arial"/>
          <w:b/>
          <w:bCs/>
          <w:color w:val="030303"/>
          <w:sz w:val="20"/>
          <w:szCs w:val="20"/>
          <w:lang w:val="pt-PT"/>
        </w:rPr>
        <w:t xml:space="preserve"> Rua Aristarco Lopes, 240, Centro, Petrolina-PE, CEP: 56302-100</w:t>
      </w:r>
      <w:r>
        <w:rPr>
          <w:rFonts w:cs="Arial" w:ascii="Arial" w:hAnsi="Arial"/>
          <w:color w:val="030303"/>
          <w:sz w:val="20"/>
          <w:szCs w:val="20"/>
          <w:lang w:val="pt-PT"/>
        </w:rPr>
        <w:t xml:space="preserve">, nos dias úteis, no horário das </w:t>
      </w:r>
      <w:r>
        <w:rPr>
          <w:rFonts w:cs="Arial" w:ascii="Arial" w:hAnsi="Arial"/>
          <w:b/>
          <w:bCs/>
          <w:color w:val="030303"/>
          <w:sz w:val="20"/>
          <w:szCs w:val="20"/>
          <w:lang w:val="pt-PT"/>
        </w:rPr>
        <w:t>8 (oito) horas às 17 (dezessete) horas</w:t>
      </w:r>
      <w:r>
        <w:rPr>
          <w:rFonts w:cs="Arial" w:ascii="Arial" w:hAnsi="Arial"/>
          <w:color w:val="000000"/>
          <w:sz w:val="20"/>
          <w:szCs w:val="20"/>
        </w:rPr>
        <w:t>, mesmo endereço e período no qual os autos do processo administrativo permanecerão com vista franqueada aos interessados.</w:t>
      </w:r>
    </w:p>
    <w:p>
      <w:pPr>
        <w:pStyle w:val="Normal"/>
        <w:numPr>
          <w:ilvl w:val="0"/>
          <w:numId w:val="0"/>
        </w:numPr>
        <w:spacing w:lineRule="auto" w:line="276" w:before="120" w:after="120"/>
        <w:ind w:left="0" w:hanging="0"/>
        <w:jc w:val="both"/>
        <w:rPr/>
      </w:pPr>
      <w:r>
        <w:rPr>
          <w:rFonts w:cs="Arial" w:ascii="Arial" w:hAnsi="Arial"/>
          <w:color w:val="000000"/>
          <w:sz w:val="20"/>
          <w:szCs w:val="20"/>
        </w:rPr>
        <w:t>23.12. Integram este Edital, para todos os fins e efeitos, os seguintes anexos:</w:t>
      </w:r>
    </w:p>
    <w:p>
      <w:pPr>
        <w:pStyle w:val="Normal"/>
        <w:numPr>
          <w:ilvl w:val="0"/>
          <w:numId w:val="0"/>
        </w:numPr>
        <w:tabs>
          <w:tab w:val="left" w:pos="1440" w:leader="none"/>
        </w:tabs>
        <w:snapToGrid w:val="false"/>
        <w:spacing w:lineRule="auto" w:line="276" w:before="120" w:after="120"/>
        <w:ind w:left="708" w:hanging="0"/>
        <w:jc w:val="both"/>
        <w:rPr/>
      </w:pPr>
      <w:r>
        <w:rPr>
          <w:rFonts w:cs="Arial" w:ascii="Arial" w:hAnsi="Arial"/>
          <w:color w:val="000000"/>
          <w:sz w:val="20"/>
          <w:szCs w:val="20"/>
        </w:rPr>
        <w:t>23.12.1. ANEXO I - Termo de Referência</w:t>
      </w:r>
    </w:p>
    <w:p>
      <w:pPr>
        <w:pStyle w:val="Normal"/>
        <w:tabs>
          <w:tab w:val="left" w:pos="1440" w:leader="none"/>
        </w:tabs>
        <w:snapToGrid w:val="false"/>
        <w:spacing w:lineRule="auto" w:line="276" w:before="120" w:after="120"/>
        <w:ind w:left="1416" w:hanging="0"/>
        <w:jc w:val="both"/>
        <w:rPr/>
      </w:pPr>
      <w:r>
        <w:rPr>
          <w:rFonts w:cs="Arial" w:ascii="Arial" w:hAnsi="Arial"/>
          <w:color w:val="000000"/>
          <w:sz w:val="20"/>
          <w:szCs w:val="20"/>
        </w:rPr>
        <w:t>23.12.1.1 ANEXO I/A: Modelo de Declaração de Sustentabilidade Ambiental</w:t>
      </w:r>
    </w:p>
    <w:p>
      <w:pPr>
        <w:pStyle w:val="Normal"/>
        <w:tabs>
          <w:tab w:val="left" w:pos="1440" w:leader="none"/>
        </w:tabs>
        <w:snapToGrid w:val="false"/>
        <w:spacing w:lineRule="auto" w:line="276" w:before="120" w:after="120"/>
        <w:ind w:left="1416" w:hanging="0"/>
        <w:jc w:val="both"/>
        <w:rPr/>
      </w:pPr>
      <w:r>
        <w:rPr>
          <w:rFonts w:cs="Arial" w:ascii="Arial" w:hAnsi="Arial"/>
          <w:color w:val="000000"/>
          <w:sz w:val="20"/>
          <w:szCs w:val="20"/>
        </w:rPr>
        <w:t>23.12.1.2 ANEXO I/B: Planilha de Preço Médio Máximo Aceitável pela Administração</w:t>
      </w:r>
    </w:p>
    <w:p>
      <w:pPr>
        <w:pStyle w:val="Normal"/>
        <w:numPr>
          <w:ilvl w:val="0"/>
          <w:numId w:val="0"/>
        </w:numPr>
        <w:tabs>
          <w:tab w:val="left" w:pos="1440" w:leader="none"/>
        </w:tabs>
        <w:snapToGrid w:val="false"/>
        <w:spacing w:lineRule="auto" w:line="276" w:before="120" w:after="120"/>
        <w:ind w:left="708" w:hanging="0"/>
        <w:jc w:val="both"/>
        <w:rPr/>
      </w:pPr>
      <w:r>
        <w:rPr>
          <w:rFonts w:cs="Arial" w:ascii="Arial" w:hAnsi="Arial"/>
          <w:bCs/>
          <w:iCs/>
          <w:color w:val="000000"/>
          <w:sz w:val="20"/>
          <w:szCs w:val="20"/>
        </w:rPr>
        <w:t>23.12.2 ANEXO II – Minuta de Termo de Contrato</w:t>
      </w:r>
      <w:r>
        <w:rPr>
          <w:rFonts w:cs="Arial" w:ascii="Arial" w:hAnsi="Arial"/>
          <w:color w:val="000000"/>
          <w:sz w:val="20"/>
          <w:szCs w:val="20"/>
        </w:rPr>
        <w:t xml:space="preserve"> </w:t>
      </w:r>
    </w:p>
    <w:p>
      <w:pPr>
        <w:pStyle w:val="Normal"/>
        <w:spacing w:lineRule="auto" w:line="276" w:before="240" w:after="240"/>
        <w:ind w:right="-15" w:hanging="0"/>
        <w:jc w:val="right"/>
        <w:rPr/>
      </w:pPr>
      <w:r>
        <w:rPr>
          <w:rFonts w:cs="Arial" w:ascii="Arial" w:hAnsi="Arial"/>
          <w:color w:val="000000"/>
          <w:sz w:val="20"/>
          <w:szCs w:val="20"/>
        </w:rPr>
        <w:t>Petrolina-PE , .......... de ................................. de 2020</w:t>
      </w:r>
    </w:p>
    <w:p>
      <w:pPr>
        <w:pStyle w:val="Normal"/>
        <w:spacing w:lineRule="auto" w:line="276"/>
        <w:ind w:right="-15" w:firstLine="709"/>
        <w:jc w:val="center"/>
        <w:rPr>
          <w:rFonts w:ascii="Arial" w:hAnsi="Arial" w:cs="Arial"/>
          <w:color w:val="000000"/>
          <w:sz w:val="20"/>
          <w:szCs w:val="20"/>
        </w:rPr>
      </w:pPr>
      <w:r>
        <w:rPr>
          <w:rFonts w:cs="Arial" w:ascii="Arial" w:hAnsi="Arial"/>
          <w:color w:val="000000"/>
          <w:sz w:val="20"/>
          <w:szCs w:val="20"/>
        </w:rPr>
      </w:r>
    </w:p>
    <w:p>
      <w:pPr>
        <w:pStyle w:val="Normal"/>
        <w:spacing w:lineRule="auto" w:line="276"/>
        <w:ind w:right="-15" w:firstLine="709"/>
        <w:jc w:val="center"/>
        <w:rPr>
          <w:rFonts w:ascii="Arial" w:hAnsi="Arial" w:cs="Arial"/>
          <w:color w:val="000000"/>
          <w:sz w:val="20"/>
          <w:szCs w:val="20"/>
        </w:rPr>
      </w:pPr>
      <w:r>
        <w:rPr>
          <w:rFonts w:cs="Arial" w:ascii="Arial" w:hAnsi="Arial"/>
          <w:color w:val="000000"/>
          <w:sz w:val="20"/>
          <w:szCs w:val="20"/>
        </w:rPr>
      </w:r>
    </w:p>
    <w:p>
      <w:pPr>
        <w:pStyle w:val="Normal"/>
        <w:spacing w:lineRule="auto" w:line="276"/>
        <w:ind w:right="-15" w:firstLine="709"/>
        <w:jc w:val="center"/>
        <w:rPr/>
      </w:pPr>
      <w:r>
        <w:rPr>
          <w:rFonts w:cs="Arial" w:ascii="Arial" w:hAnsi="Arial"/>
          <w:color w:val="000000"/>
          <w:sz w:val="20"/>
          <w:szCs w:val="20"/>
        </w:rPr>
        <w:t>Maria Leopoldina Veras Camelo</w:t>
      </w:r>
    </w:p>
    <w:p>
      <w:pPr>
        <w:pStyle w:val="Normal"/>
        <w:spacing w:lineRule="auto" w:line="276"/>
        <w:ind w:right="-15" w:firstLine="709"/>
        <w:jc w:val="center"/>
        <w:rPr>
          <w:rFonts w:ascii="Arial" w:hAnsi="Arial" w:cs="Arial"/>
          <w:color w:val="000000"/>
          <w:sz w:val="20"/>
          <w:szCs w:val="20"/>
        </w:rPr>
      </w:pPr>
      <w:r>
        <w:rPr>
          <w:rFonts w:cs="Arial" w:ascii="Arial" w:hAnsi="Arial"/>
          <w:color w:val="000000"/>
          <w:sz w:val="20"/>
          <w:szCs w:val="20"/>
        </w:rPr>
        <w:t>Reitora</w:t>
      </w:r>
    </w:p>
    <w:p>
      <w:pPr>
        <w:pStyle w:val="Normal"/>
        <w:spacing w:lineRule="auto" w:line="276"/>
        <w:ind w:right="-15" w:firstLine="709"/>
        <w:jc w:val="center"/>
        <w:rPr/>
      </w:pPr>
      <w:r>
        <w:rPr>
          <w:rFonts w:cs="Arial" w:ascii="Arial" w:hAnsi="Arial"/>
          <w:color w:val="000000"/>
          <w:sz w:val="20"/>
          <w:szCs w:val="20"/>
        </w:rPr>
        <w:t>IF Sertão-PE</w:t>
      </w:r>
    </w:p>
    <w:p>
      <w:pPr>
        <w:pStyle w:val="Normal"/>
        <w:spacing w:lineRule="auto" w:line="276"/>
        <w:ind w:right="-15" w:firstLine="709"/>
        <w:jc w:val="center"/>
        <w:rPr>
          <w:rFonts w:ascii="Arial" w:hAnsi="Arial" w:cs="Arial"/>
          <w:color w:val="000000"/>
          <w:sz w:val="20"/>
          <w:szCs w:val="20"/>
        </w:rPr>
      </w:pPr>
      <w:r>
        <w:rPr>
          <w:rFonts w:cs="Arial" w:ascii="Arial" w:hAnsi="Arial"/>
          <w:color w:val="000000"/>
          <w:sz w:val="20"/>
          <w:szCs w:val="20"/>
        </w:rPr>
      </w:r>
    </w:p>
    <w:p>
      <w:pPr>
        <w:pStyle w:val="Normal"/>
        <w:spacing w:lineRule="auto" w:line="276"/>
        <w:ind w:right="-15" w:firstLine="709"/>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bCs/>
          <w:color w:val="000000"/>
          <w:sz w:val="24"/>
          <w:szCs w:val="24"/>
        </w:rPr>
      </w:pPr>
      <w:r>
        <w:rPr>
          <w:rFonts w:cs="Arial" w:ascii="Arial" w:hAnsi="Arial"/>
          <w:b/>
          <w:bCs/>
          <w:color w:val="000000"/>
          <w:sz w:val="24"/>
          <w:szCs w:val="24"/>
        </w:rPr>
        <w:t>ANEXO I</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MODELO DE TERMO DE REFERÊNCIA</w:t>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w:t>
      </w:r>
    </w:p>
    <w:p>
      <w:pPr>
        <w:pStyle w:val="Normal"/>
        <w:jc w:val="center"/>
        <w:rPr>
          <w:rFonts w:ascii="Arial" w:hAnsi="Arial" w:cs="Arial"/>
          <w:b/>
          <w:b/>
          <w:bCs/>
          <w:iCs/>
          <w:color w:val="000000"/>
          <w:sz w:val="20"/>
          <w:szCs w:val="20"/>
        </w:rPr>
      </w:pPr>
      <w:r>
        <w:rPr>
          <w:rFonts w:cs="Arial" w:ascii="Arial" w:hAnsi="Arial"/>
          <w:b/>
          <w:bCs/>
          <w:iCs/>
          <w:color w:val="000000"/>
          <w:sz w:val="20"/>
          <w:szCs w:val="20"/>
        </w:rPr>
        <w:t>(COMPRAS)</w:t>
      </w:r>
    </w:p>
    <w:p>
      <w:pPr>
        <w:pStyle w:val="Normal"/>
        <w:spacing w:lineRule="auto" w:line="276" w:before="0" w:after="120"/>
        <w:ind w:left="0" w:right="-15" w:hanging="0"/>
        <w:jc w:val="center"/>
        <w:rPr>
          <w:rFonts w:ascii="Arial" w:hAnsi="Arial" w:cs="Arial"/>
          <w:b/>
          <w:b/>
          <w:bCs/>
          <w:i/>
          <w:i/>
          <w:color w:val="000000"/>
          <w:sz w:val="20"/>
          <w:szCs w:val="20"/>
          <w:highlight w:val="yellow"/>
        </w:rPr>
      </w:pPr>
      <w:r>
        <w:rPr>
          <w:rFonts w:cs="Arial" w:ascii="Arial" w:hAnsi="Arial"/>
          <w:b/>
          <w:bCs/>
          <w:i/>
          <w:color w:val="000000"/>
          <w:sz w:val="20"/>
          <w:szCs w:val="20"/>
          <w:highlight w:val="yellow"/>
        </w:rPr>
        <w:t>COVID-19</w:t>
      </w:r>
    </w:p>
    <w:p>
      <w:pPr>
        <w:pStyle w:val="Normal"/>
        <w:spacing w:lineRule="auto" w:line="276"/>
        <w:ind w:left="0" w:right="-286" w:hanging="0"/>
        <w:jc w:val="center"/>
        <w:rPr/>
      </w:pPr>
      <w:r>
        <w:rPr>
          <w:rStyle w:val="Fontepargpadro"/>
          <w:rFonts w:cs="Arial" w:ascii="Arial" w:hAnsi="Arial"/>
          <w:b/>
          <w:bCs/>
          <w:i/>
          <w:color w:val="000000"/>
          <w:sz w:val="20"/>
          <w:szCs w:val="20"/>
        </w:rPr>
        <w:t>INSTITUTO FEDERAL DE EDUCAÇÃO CIÊNCIA E TECNOLOGIA</w:t>
      </w:r>
      <w:r>
        <w:rPr>
          <w:rStyle w:val="LinkdaInternet"/>
          <w:rFonts w:cs="Arial" w:ascii="Arial" w:hAnsi="Arial"/>
          <w:color w:val="000000"/>
          <w:sz w:val="20"/>
          <w:szCs w:val="20"/>
          <w:u w:val="none"/>
        </w:rPr>
        <w:t xml:space="preserve"> DO SERTÃO - PERNAMBUCANO</w:t>
      </w:r>
    </w:p>
    <w:p>
      <w:pPr>
        <w:pStyle w:val="Normal"/>
        <w:spacing w:lineRule="auto" w:line="276"/>
        <w:jc w:val="center"/>
        <w:rPr>
          <w:rFonts w:ascii="Arial" w:hAnsi="Arial" w:cs="Arial"/>
          <w:b/>
          <w:b/>
          <w:bCs/>
          <w:color w:val="000000"/>
          <w:sz w:val="20"/>
          <w:szCs w:val="20"/>
        </w:rPr>
      </w:pPr>
      <w:r>
        <w:rPr>
          <w:rFonts w:cs="Arial" w:ascii="Arial" w:hAnsi="Arial"/>
          <w:b/>
          <w:bCs/>
          <w:color w:val="000000"/>
          <w:sz w:val="20"/>
          <w:szCs w:val="20"/>
        </w:rPr>
        <w:t>PREGÃO Nº 06/2020</w:t>
      </w:r>
    </w:p>
    <w:p>
      <w:pPr>
        <w:pStyle w:val="Normal"/>
        <w:spacing w:lineRule="auto" w:line="276"/>
        <w:jc w:val="center"/>
        <w:rPr>
          <w:rFonts w:ascii="Arial" w:hAnsi="Arial" w:cs="Arial"/>
          <w:b/>
          <w:b/>
          <w:bCs/>
          <w:color w:val="000000"/>
          <w:sz w:val="20"/>
          <w:szCs w:val="20"/>
        </w:rPr>
      </w:pPr>
      <w:r>
        <w:rPr>
          <w:rFonts w:cs="Arial" w:ascii="Arial" w:hAnsi="Arial"/>
          <w:b/>
          <w:bCs/>
          <w:color w:val="000000"/>
          <w:sz w:val="20"/>
          <w:szCs w:val="20"/>
        </w:rPr>
        <w:t>(Processo Administrativo n.°</w:t>
      </w:r>
      <w:r>
        <w:rPr>
          <w:rFonts w:cs="Arial" w:ascii="Arial" w:hAnsi="Arial"/>
          <w:b/>
          <w:bCs/>
          <w:color w:val="000000"/>
          <w:sz w:val="20"/>
          <w:szCs w:val="20"/>
          <w:lang w:eastAsia="en-US"/>
        </w:rPr>
        <w:t>23600.000420.2020-84</w:t>
      </w:r>
      <w:r>
        <w:rPr>
          <w:rFonts w:cs="Arial" w:ascii="Arial" w:hAnsi="Arial"/>
          <w:b/>
          <w:bCs/>
          <w:color w:val="000000"/>
          <w:sz w:val="20"/>
          <w:szCs w:val="20"/>
        </w:rPr>
        <w:t>)</w:t>
      </w:r>
    </w:p>
    <w:p>
      <w:pPr>
        <w:pStyle w:val="Normal"/>
        <w:spacing w:lineRule="auto" w:line="276" w:before="0" w:after="120"/>
        <w:ind w:left="0" w:right="-15" w:hanging="0"/>
        <w:jc w:val="center"/>
        <w:rPr>
          <w:rFonts w:ascii="Arial" w:hAnsi="Arial" w:cs="Arial"/>
          <w:b/>
          <w:b/>
          <w:bCs/>
          <w:color w:val="000000"/>
          <w:sz w:val="20"/>
          <w:szCs w:val="20"/>
        </w:rPr>
      </w:pPr>
      <w:r>
        <w:rPr>
          <w:rFonts w:cs="Arial" w:ascii="Arial" w:hAnsi="Arial"/>
          <w:b/>
          <w:bCs/>
          <w:color w:val="000000"/>
          <w:sz w:val="20"/>
          <w:szCs w:val="20"/>
        </w:rPr>
      </w:r>
    </w:p>
    <w:p>
      <w:pPr>
        <w:pStyle w:val="Nivel1"/>
        <w:numPr>
          <w:ilvl w:val="0"/>
          <w:numId w:val="8"/>
        </w:numPr>
        <w:rPr>
          <w:rFonts w:ascii="Arial" w:hAnsi="Arial"/>
          <w:b/>
          <w:b/>
          <w:bCs/>
          <w:sz w:val="20"/>
          <w:szCs w:val="20"/>
        </w:rPr>
      </w:pPr>
      <w:r>
        <w:rPr>
          <w:b/>
          <w:bCs/>
          <w:sz w:val="20"/>
          <w:szCs w:val="20"/>
        </w:rPr>
        <w:t>DO OBJETO</w:t>
      </w:r>
    </w:p>
    <w:p>
      <w:pPr>
        <w:pStyle w:val="Normal"/>
        <w:numPr>
          <w:ilvl w:val="1"/>
          <w:numId w:val="8"/>
        </w:numPr>
        <w:spacing w:lineRule="auto" w:line="276" w:before="120" w:after="120"/>
        <w:ind w:left="425" w:right="0" w:hanging="0"/>
        <w:jc w:val="both"/>
        <w:rPr/>
      </w:pPr>
      <w:r>
        <w:rPr>
          <w:rStyle w:val="Fontepargpadro"/>
          <w:rFonts w:cs="Arial" w:ascii="Arial" w:hAnsi="Arial"/>
          <w:color w:val="000000"/>
          <w:sz w:val="20"/>
          <w:szCs w:val="20"/>
        </w:rPr>
        <w:t xml:space="preserve">O objeto da presente licitação é a </w:t>
      </w:r>
      <w:r>
        <w:rPr>
          <w:rStyle w:val="Fontepargpadro"/>
          <w:rFonts w:cs="Arial" w:ascii="Arial" w:hAnsi="Arial"/>
          <w:b/>
          <w:bCs/>
          <w:color w:val="000000"/>
          <w:sz w:val="20"/>
          <w:szCs w:val="20"/>
        </w:rPr>
        <w:t>Aquisição de insumos(materiais e equipamentos), para fins de enfrentamento da emergência de saúde pública de importância internacional decorrente do novo coronavírus, causador da COVID-19</w:t>
      </w:r>
      <w:r>
        <w:rPr>
          <w:rStyle w:val="Fontepargpadro"/>
          <w:rFonts w:cs="Arial" w:ascii="Arial" w:hAnsi="Arial"/>
          <w:color w:val="000000"/>
          <w:sz w:val="20"/>
          <w:szCs w:val="20"/>
        </w:rPr>
        <w:t>, conforme condições, quantidades e exigências estabelecidas neste instrumento:</w:t>
      </w:r>
    </w:p>
    <w:p>
      <w:pPr>
        <w:pStyle w:val="Contedodetabela"/>
        <w:tabs>
          <w:tab w:val="left" w:pos="3030" w:leader="none"/>
        </w:tabs>
        <w:snapToGrid w:val="false"/>
        <w:spacing w:lineRule="atLeast" w:line="100"/>
        <w:rPr>
          <w:rFonts w:ascii="Arial" w:hAnsi="Arial" w:cs="Arial"/>
          <w:b/>
          <w:b/>
          <w:bCs/>
          <w:sz w:val="20"/>
          <w:szCs w:val="20"/>
        </w:rPr>
      </w:pPr>
      <w:r>
        <w:rPr>
          <w:rFonts w:cs="Arial" w:ascii="Arial" w:hAnsi="Arial"/>
          <w:b/>
          <w:bCs/>
          <w:sz w:val="20"/>
          <w:szCs w:val="20"/>
        </w:rPr>
      </w:r>
    </w:p>
    <w:tbl>
      <w:tblPr>
        <w:tblW w:w="9245" w:type="dxa"/>
        <w:jc w:val="left"/>
        <w:tblInd w:w="-7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1102"/>
        <w:gridCol w:w="5608"/>
        <w:gridCol w:w="1283"/>
        <w:gridCol w:w="1251"/>
      </w:tblGrid>
      <w:tr>
        <w:trPr/>
        <w:tc>
          <w:tcPr>
            <w:tcW w:w="924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tabs>
                <w:tab w:val="left" w:pos="3030" w:leader="none"/>
              </w:tabs>
              <w:snapToGrid w:val="false"/>
              <w:spacing w:lineRule="atLeast" w:line="100"/>
              <w:jc w:val="center"/>
              <w:rPr>
                <w:rFonts w:ascii="Arial" w:hAnsi="Arial" w:cs="Arial"/>
                <w:b/>
                <w:b/>
                <w:bCs/>
                <w:sz w:val="20"/>
                <w:szCs w:val="20"/>
              </w:rPr>
            </w:pPr>
            <w:r>
              <w:rPr>
                <w:rFonts w:cs="Arial" w:ascii="Arial" w:hAnsi="Arial"/>
                <w:b/>
                <w:bCs/>
                <w:sz w:val="20"/>
                <w:szCs w:val="20"/>
              </w:rPr>
              <w:t>Grupo 1: Aquisição de Insumo Agrícolas</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01</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Mangueira de gotejamento cilíndrico autocompensante 50cm x 50cm, plástica para irrigação, ½ polegada, Preta. Rolo com  500m.</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Rolo com  500m.</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02</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para mudas 14x25cm</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3000</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03</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para mudas 15x30cm</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3000</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04</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eastAsia="Calibri" w:cs="Arial" w:ascii="Arial" w:hAnsi="Arial"/>
                <w:color w:val="000000"/>
                <w:sz w:val="20"/>
                <w:szCs w:val="20"/>
                <w:lang w:eastAsia="zh-CN"/>
              </w:rPr>
              <w:t>Substrato orgânico(Composto por turfa, vermiculita, resíduo orgânico, resíduo orgânico agroindustrial classe A e calcário).</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color w:val="000000"/>
                <w:sz w:val="20"/>
                <w:szCs w:val="20"/>
              </w:rPr>
            </w:pPr>
            <w:r>
              <w:rPr>
                <w:rFonts w:cs="Arial" w:ascii="Arial" w:hAnsi="Arial"/>
                <w:color w:val="000000"/>
                <w:sz w:val="20"/>
                <w:szCs w:val="20"/>
              </w:rPr>
              <w:t>Saco com 25Kg</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6</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05</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Tesoura de poda manual, de 7 ou 8 polegadas, com cabo emborrachado e trava de segurança</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10</w:t>
            </w:r>
          </w:p>
        </w:tc>
      </w:tr>
      <w:tr>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06</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Regador plástico com capacidade de 10 litros</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04</w:t>
            </w:r>
          </w:p>
        </w:tc>
      </w:tr>
      <w:tr>
        <w:trPr>
          <w:trHeight w:val="675" w:hRule="atLeast"/>
        </w:trPr>
        <w:tc>
          <w:tcPr>
            <w:tcW w:w="11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07</w:t>
            </w:r>
          </w:p>
        </w:tc>
        <w:tc>
          <w:tcPr>
            <w:tcW w:w="56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Fertilizante Torta de mamona</w:t>
            </w:r>
          </w:p>
        </w:tc>
        <w:tc>
          <w:tcPr>
            <w:tcW w:w="12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200</w:t>
            </w:r>
          </w:p>
        </w:tc>
      </w:tr>
    </w:tbl>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Contedodetabela"/>
        <w:snapToGrid w:val="false"/>
        <w:jc w:val="center"/>
        <w:rPr>
          <w:rFonts w:cs="Arial"/>
          <w:b/>
          <w:b/>
          <w:bCs/>
          <w:sz w:val="18"/>
          <w:szCs w:val="18"/>
        </w:rPr>
      </w:pPr>
      <w:r>
        <w:rPr>
          <w:rFonts w:cs="Arial"/>
          <w:b/>
          <w:bCs/>
          <w:sz w:val="18"/>
          <w:szCs w:val="18"/>
        </w:rPr>
      </w:r>
    </w:p>
    <w:tbl>
      <w:tblPr>
        <w:tblW w:w="8968" w:type="dxa"/>
        <w:jc w:val="left"/>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Pr>
      <w:tblGrid>
        <w:gridCol w:w="900"/>
        <w:gridCol w:w="5625"/>
        <w:gridCol w:w="1245"/>
        <w:gridCol w:w="1198"/>
      </w:tblGrid>
      <w:tr>
        <w:trPr/>
        <w:tc>
          <w:tcPr>
            <w:tcW w:w="896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66FFCC" w:val="clear"/>
            <w:tcMar>
              <w:left w:w="45" w:type="dxa"/>
            </w:tcMar>
          </w:tcPr>
          <w:p>
            <w:pPr>
              <w:pStyle w:val="Contedodetabela"/>
              <w:snapToGrid w:val="false"/>
              <w:jc w:val="center"/>
              <w:rPr>
                <w:rFonts w:ascii="Arial" w:hAnsi="Arial" w:cs="Arial"/>
                <w:b/>
                <w:b/>
                <w:bCs/>
                <w:sz w:val="21"/>
                <w:szCs w:val="21"/>
              </w:rPr>
            </w:pPr>
            <w:r>
              <w:rPr>
                <w:rFonts w:cs="Arial" w:ascii="Arial" w:hAnsi="Arial"/>
                <w:b/>
                <w:bCs/>
                <w:sz w:val="21"/>
                <w:szCs w:val="21"/>
              </w:rPr>
              <w:t>Grupo 2</w:t>
            </w:r>
            <w:r>
              <w:rPr>
                <w:rFonts w:cs="Arial" w:ascii="Arial" w:hAnsi="Arial"/>
                <w:b/>
                <w:bCs/>
                <w:sz w:val="21"/>
                <w:szCs w:val="21"/>
              </w:rPr>
              <w:t xml:space="preserve">: </w:t>
            </w:r>
            <w:r>
              <w:rPr>
                <w:rFonts w:cs="Arial" w:ascii="Arial" w:hAnsi="Arial"/>
                <w:b/>
                <w:bCs/>
                <w:sz w:val="21"/>
                <w:szCs w:val="21"/>
              </w:rPr>
              <w:t>Aquisição de Embalagens</w:t>
            </w:r>
          </w:p>
        </w:tc>
      </w:tr>
      <w:tr>
        <w:trPr/>
        <w:tc>
          <w:tcPr>
            <w:tcW w:w="900" w:type="dxa"/>
            <w:tcBorders>
              <w:left w:val="single" w:sz="8" w:space="0" w:color="000000"/>
              <w:bottom w:val="single" w:sz="8" w:space="0" w:color="000000"/>
              <w:insideH w:val="single" w:sz="8" w:space="0" w:color="000000"/>
            </w:tcBorders>
            <w:shd w:fill="66FFCC" w:val="clear"/>
            <w:tcMar>
              <w:left w:w="45" w:type="dxa"/>
            </w:tcMar>
          </w:tcPr>
          <w:p>
            <w:pPr>
              <w:pStyle w:val="Contedodetabela"/>
              <w:snapToGrid w:val="false"/>
              <w:jc w:val="center"/>
              <w:rPr>
                <w:rFonts w:ascii="Arial" w:hAnsi="Arial" w:cs="Arial"/>
                <w:b/>
                <w:b/>
                <w:bCs/>
                <w:sz w:val="21"/>
                <w:szCs w:val="21"/>
              </w:rPr>
            </w:pPr>
            <w:r>
              <w:rPr>
                <w:rFonts w:cs="Arial" w:ascii="Arial" w:hAnsi="Arial"/>
                <w:b/>
                <w:bCs/>
                <w:sz w:val="21"/>
                <w:szCs w:val="21"/>
              </w:rPr>
              <w:t>Item</w:t>
            </w:r>
          </w:p>
        </w:tc>
        <w:tc>
          <w:tcPr>
            <w:tcW w:w="5625" w:type="dxa"/>
            <w:tcBorders>
              <w:left w:val="single" w:sz="8" w:space="0" w:color="000000"/>
              <w:bottom w:val="single" w:sz="8" w:space="0" w:color="000000"/>
              <w:insideH w:val="single" w:sz="8" w:space="0" w:color="000000"/>
            </w:tcBorders>
            <w:shd w:fill="66FFCC" w:val="clear"/>
            <w:tcMar>
              <w:left w:w="4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1"/>
                <w:szCs w:val="21"/>
                <w:lang w:eastAsia="ar-SA"/>
              </w:rPr>
            </w:pPr>
            <w:r>
              <w:rPr>
                <w:rFonts w:eastAsia="Times New Roman" w:cs="Arial" w:ascii="Arial" w:hAnsi="Arial"/>
                <w:b/>
                <w:bCs/>
                <w:color w:val="000000"/>
                <w:sz w:val="21"/>
                <w:szCs w:val="21"/>
                <w:lang w:eastAsia="ar-SA"/>
              </w:rPr>
              <w:t>Descrição</w:t>
            </w:r>
          </w:p>
        </w:tc>
        <w:tc>
          <w:tcPr>
            <w:tcW w:w="1245" w:type="dxa"/>
            <w:tcBorders>
              <w:left w:val="single" w:sz="8" w:space="0" w:color="000000"/>
              <w:bottom w:val="single" w:sz="8" w:space="0" w:color="000000"/>
              <w:insideH w:val="single" w:sz="8" w:space="0" w:color="000000"/>
            </w:tcBorders>
            <w:shd w:fill="66FFCC" w:val="clear"/>
            <w:tcMar>
              <w:left w:w="4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1"/>
                <w:szCs w:val="21"/>
                <w:lang w:eastAsia="ar-SA"/>
              </w:rPr>
            </w:pPr>
            <w:r>
              <w:rPr>
                <w:rFonts w:eastAsia="Times New Roman" w:cs="Arial" w:ascii="Arial" w:hAnsi="Arial"/>
                <w:b/>
                <w:bCs/>
                <w:color w:val="000000"/>
                <w:sz w:val="21"/>
                <w:szCs w:val="21"/>
                <w:lang w:eastAsia="ar-SA"/>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66FFCC" w:val="clear"/>
            <w:tcMar>
              <w:left w:w="45" w:type="dxa"/>
            </w:tcMar>
          </w:tcPr>
          <w:p>
            <w:pPr>
              <w:pStyle w:val="Contedodetabela"/>
              <w:snapToGrid w:val="false"/>
              <w:jc w:val="center"/>
              <w:rPr>
                <w:rFonts w:ascii="Arial" w:hAnsi="Arial" w:cs="Arial"/>
                <w:b/>
                <w:b/>
                <w:bCs/>
                <w:sz w:val="21"/>
                <w:szCs w:val="21"/>
              </w:rPr>
            </w:pPr>
            <w:r>
              <w:rPr>
                <w:rFonts w:cs="Arial" w:ascii="Arial" w:hAnsi="Arial"/>
                <w:b/>
                <w:bCs/>
                <w:sz w:val="21"/>
                <w:szCs w:val="21"/>
              </w:rPr>
              <w:t>Qtd. Total</w:t>
            </w:r>
          </w:p>
          <w:p>
            <w:pPr>
              <w:pStyle w:val="Contedodetabela"/>
              <w:snapToGrid w:val="false"/>
              <w:jc w:val="center"/>
              <w:rPr>
                <w:rFonts w:ascii="Arial" w:hAnsi="Arial" w:cs="Arial"/>
                <w:b/>
                <w:b/>
                <w:bCs/>
                <w:sz w:val="21"/>
                <w:szCs w:val="21"/>
              </w:rPr>
            </w:pPr>
            <w:r>
              <w:rPr>
                <w:rFonts w:cs="Arial" w:ascii="Arial" w:hAnsi="Arial"/>
                <w:b/>
                <w:bCs/>
                <w:sz w:val="21"/>
                <w:szCs w:val="21"/>
              </w:rPr>
            </w:r>
          </w:p>
          <w:p>
            <w:pPr>
              <w:pStyle w:val="Contedodetabela"/>
              <w:snapToGrid w:val="false"/>
              <w:jc w:val="center"/>
              <w:rPr>
                <w:rFonts w:ascii="Arial" w:hAnsi="Arial" w:cs="Arial"/>
                <w:b/>
                <w:b/>
                <w:bCs/>
                <w:sz w:val="21"/>
                <w:szCs w:val="21"/>
              </w:rPr>
            </w:pPr>
            <w:r>
              <w:rPr>
                <w:rFonts w:cs="Arial" w:ascii="Arial" w:hAnsi="Arial"/>
                <w:b/>
                <w:bCs/>
                <w:sz w:val="21"/>
                <w:szCs w:val="21"/>
              </w:rPr>
              <w:t>(A)</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08</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color w:val="000000"/>
                <w:sz w:val="21"/>
                <w:szCs w:val="21"/>
              </w:rPr>
              <w:t xml:space="preserve"> </w:t>
            </w:r>
            <w:r>
              <w:rPr>
                <w:rStyle w:val="Fontepargpadro"/>
                <w:rFonts w:cs="Times New Roman" w:ascii="Arial" w:hAnsi="Arial"/>
                <w:color w:val="000000"/>
                <w:sz w:val="21"/>
                <w:szCs w:val="21"/>
              </w:rPr>
              <w:t>Frasco plástico pet 200mL com tampa rosqueada</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2.000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09</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Normal"/>
              <w:suppressAutoHyphens w:val="false"/>
              <w:snapToGrid w:val="false"/>
              <w:spacing w:lineRule="atLeast" w:line="100" w:before="0" w:after="113"/>
              <w:ind w:left="-10" w:right="5" w:hanging="0"/>
              <w:jc w:val="both"/>
              <w:rPr>
                <w:rFonts w:ascii="Arial" w:hAnsi="Arial" w:cs="Times New Roman"/>
                <w:color w:val="000000"/>
                <w:sz w:val="21"/>
                <w:szCs w:val="21"/>
              </w:rPr>
            </w:pPr>
            <w:r>
              <w:rPr>
                <w:rFonts w:cs="Times New Roman" w:ascii="Arial" w:hAnsi="Arial"/>
                <w:color w:val="000000"/>
                <w:sz w:val="21"/>
                <w:szCs w:val="21"/>
              </w:rPr>
              <w:t>Frasco plástico pet 350mL com tampa rosqueada</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2.000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10</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rFonts w:ascii="Arial" w:hAnsi="Arial" w:cs="Arial"/>
                <w:color w:val="000000"/>
                <w:sz w:val="21"/>
                <w:szCs w:val="21"/>
              </w:rPr>
            </w:pPr>
            <w:r>
              <w:rPr>
                <w:rFonts w:cs="Arial" w:ascii="Arial" w:hAnsi="Arial"/>
                <w:color w:val="000000"/>
                <w:sz w:val="21"/>
                <w:szCs w:val="21"/>
              </w:rPr>
              <w:t>Recipiente plástico com tampa 5000ml</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highlight w:val="yellow"/>
              </w:rPr>
            </w:pPr>
            <w:r>
              <w:rPr>
                <w:rFonts w:cs="Arial" w:ascii="Arial" w:hAnsi="Arial"/>
                <w:color w:val="000000"/>
                <w:sz w:val="21"/>
                <w:szCs w:val="21"/>
                <w:highlight w:val="yellow"/>
              </w:rPr>
              <w:t>2.000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11</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Normal"/>
              <w:suppressAutoHyphens w:val="false"/>
              <w:snapToGrid w:val="false"/>
              <w:spacing w:lineRule="atLeast" w:line="100" w:before="0" w:after="113"/>
              <w:ind w:left="-10" w:right="5" w:hanging="0"/>
              <w:jc w:val="both"/>
              <w:rPr/>
            </w:pPr>
            <w:r>
              <w:rPr>
                <w:rStyle w:val="Fontepargpadro"/>
                <w:rFonts w:cs="Times New Roman" w:ascii="Arial" w:hAnsi="Arial"/>
                <w:color w:val="000000"/>
                <w:sz w:val="21"/>
                <w:szCs w:val="21"/>
              </w:rPr>
              <w:t>Recipiente plástico com tampa flip top 100 ml</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highlight w:val="yellow"/>
              </w:rPr>
            </w:pPr>
            <w:r>
              <w:rPr>
                <w:rFonts w:cs="Arial" w:ascii="Arial" w:hAnsi="Arial"/>
                <w:color w:val="000000"/>
                <w:sz w:val="21"/>
                <w:szCs w:val="21"/>
                <w:highlight w:val="yellow"/>
              </w:rPr>
              <w:t>3.500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12</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Normal"/>
              <w:suppressAutoHyphens w:val="false"/>
              <w:snapToGrid w:val="false"/>
              <w:spacing w:lineRule="atLeast" w:line="100" w:before="0" w:after="113"/>
              <w:ind w:left="-10" w:right="5" w:hanging="0"/>
              <w:jc w:val="both"/>
              <w:rPr/>
            </w:pPr>
            <w:r>
              <w:rPr>
                <w:rStyle w:val="Fontepargpadro"/>
                <w:rFonts w:cs="Times New Roman" w:ascii="Arial" w:hAnsi="Arial"/>
                <w:color w:val="000000"/>
                <w:sz w:val="21"/>
                <w:szCs w:val="21"/>
              </w:rPr>
              <w:t>Recipiente plástico com tampa flip top 500 ml</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highlight w:val="yellow"/>
              </w:rPr>
            </w:pPr>
            <w:r>
              <w:rPr>
                <w:rFonts w:cs="Arial" w:ascii="Arial" w:hAnsi="Arial"/>
                <w:color w:val="000000"/>
                <w:sz w:val="21"/>
                <w:szCs w:val="21"/>
                <w:highlight w:val="yellow"/>
              </w:rPr>
              <w:t>3.500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color w:val="000000"/>
                <w:sz w:val="21"/>
                <w:szCs w:val="21"/>
              </w:rPr>
            </w:pPr>
            <w:r>
              <w:rPr>
                <w:rFonts w:cs="Arial" w:ascii="Arial" w:hAnsi="Arial"/>
                <w:color w:val="000000"/>
                <w:sz w:val="21"/>
                <w:szCs w:val="21"/>
              </w:rPr>
              <w:t>13</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Normal"/>
              <w:suppressAutoHyphens w:val="false"/>
              <w:snapToGrid w:val="false"/>
              <w:spacing w:lineRule="atLeast" w:line="100" w:before="0" w:after="113"/>
              <w:ind w:left="-10" w:right="5" w:hanging="0"/>
              <w:jc w:val="both"/>
              <w:rPr/>
            </w:pPr>
            <w:r>
              <w:rPr>
                <w:rStyle w:val="Fontepargpadro"/>
                <w:rFonts w:cs="Times New Roman" w:ascii="Arial" w:hAnsi="Arial"/>
                <w:color w:val="000000"/>
                <w:sz w:val="21"/>
                <w:szCs w:val="21"/>
              </w:rPr>
              <w:t>Recipiente plástico com válvula bico de pato 1000 ml</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color w:val="000000"/>
                <w:sz w:val="21"/>
                <w:szCs w:val="21"/>
              </w:rPr>
            </w:pPr>
            <w:r>
              <w:rPr>
                <w:rFonts w:cs="Arial" w:ascii="Arial" w:hAnsi="Arial"/>
                <w:color w:val="000000"/>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color w:val="000000"/>
                <w:sz w:val="21"/>
                <w:szCs w:val="21"/>
                <w:highlight w:val="yellow"/>
              </w:rPr>
            </w:pPr>
            <w:r>
              <w:rPr>
                <w:rFonts w:cs="Arial" w:ascii="Arial" w:hAnsi="Arial"/>
                <w:color w:val="000000"/>
                <w:sz w:val="21"/>
                <w:szCs w:val="21"/>
                <w:highlight w:val="yellow"/>
              </w:rPr>
              <w:t>3.500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14</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1"/>
                <w:szCs w:val="21"/>
              </w:rPr>
              <w:t>Saco plástico transparente 20x30cm</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sz w:val="21"/>
                <w:szCs w:val="21"/>
              </w:rPr>
            </w:pPr>
            <w:r>
              <w:rPr>
                <w:rFonts w:cs="Arial" w:ascii="Arial" w:hAnsi="Arial"/>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1.000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15</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1"/>
                <w:szCs w:val="21"/>
              </w:rPr>
              <w:t>Saco plástico transparente 25x35cm</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etabela"/>
              <w:suppressAutoHyphens w:val="false"/>
              <w:snapToGrid w:val="false"/>
              <w:spacing w:lineRule="atLeast" w:line="100" w:before="0" w:after="113"/>
              <w:jc w:val="center"/>
              <w:rPr>
                <w:rFonts w:ascii="Arial" w:hAnsi="Arial" w:cs="Arial"/>
                <w:sz w:val="21"/>
                <w:szCs w:val="21"/>
              </w:rPr>
            </w:pPr>
            <w:r>
              <w:rPr>
                <w:rFonts w:cs="Arial" w:ascii="Arial" w:hAnsi="Arial"/>
                <w:sz w:val="21"/>
                <w:szCs w:val="21"/>
              </w:rPr>
              <w:t>Unidade</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2.000</w:t>
            </w:r>
          </w:p>
        </w:tc>
      </w:tr>
      <w:tr>
        <w:trPr/>
        <w:tc>
          <w:tcPr>
            <w:tcW w:w="900" w:type="dxa"/>
            <w:tcBorders>
              <w:left w:val="single" w:sz="8" w:space="0" w:color="000000"/>
              <w:bottom w:val="single" w:sz="8" w:space="0" w:color="000000"/>
              <w:insideH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16</w:t>
            </w:r>
          </w:p>
        </w:tc>
        <w:tc>
          <w:tcPr>
            <w:tcW w:w="562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1"/>
                <w:szCs w:val="21"/>
              </w:rPr>
              <w:t>Saco plástico para lixo, reforçado. Capacidade de 20 litros (pacote com 100 unid)</w:t>
            </w:r>
          </w:p>
        </w:tc>
        <w:tc>
          <w:tcPr>
            <w:tcW w:w="1245" w:type="dxa"/>
            <w:tcBorders>
              <w:left w:val="single" w:sz="8" w:space="0" w:color="000000"/>
              <w:bottom w:val="single" w:sz="8" w:space="0" w:color="000000"/>
              <w:insideH w:val="single" w:sz="8" w:space="0" w:color="000000"/>
            </w:tcBorders>
            <w:shd w:fill="auto" w:val="clear"/>
            <w:tcMar>
              <w:left w:w="45" w:type="dxa"/>
            </w:tcMar>
          </w:tcPr>
          <w:p>
            <w:pPr>
              <w:pStyle w:val="Contedodatabela"/>
              <w:suppressAutoHyphens w:val="false"/>
              <w:snapToGrid w:val="false"/>
              <w:spacing w:lineRule="atLeast" w:line="100" w:before="0" w:after="113"/>
              <w:ind w:left="-10" w:right="5" w:hanging="0"/>
              <w:jc w:val="both"/>
              <w:rPr>
                <w:rFonts w:ascii="Arial" w:hAnsi="Arial" w:cs="Arial"/>
                <w:sz w:val="21"/>
                <w:szCs w:val="21"/>
              </w:rPr>
            </w:pPr>
            <w:r>
              <w:rPr>
                <w:rFonts w:cs="Arial" w:ascii="Arial" w:hAnsi="Arial"/>
                <w:sz w:val="21"/>
                <w:szCs w:val="21"/>
              </w:rPr>
              <w:t>Pacote com 100 unid</w:t>
            </w:r>
            <w:r>
              <w:rPr>
                <w:rFonts w:cs="Arial" w:ascii="Arial" w:hAnsi="Arial"/>
                <w:sz w:val="21"/>
                <w:szCs w:val="21"/>
              </w:rPr>
              <w:t>ades</w:t>
            </w:r>
          </w:p>
        </w:tc>
        <w:tc>
          <w:tcPr>
            <w:tcW w:w="11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dodetabela"/>
              <w:snapToGrid w:val="false"/>
              <w:jc w:val="center"/>
              <w:rPr>
                <w:rFonts w:ascii="Arial" w:hAnsi="Arial" w:cs="Arial"/>
                <w:sz w:val="21"/>
                <w:szCs w:val="21"/>
              </w:rPr>
            </w:pPr>
            <w:r>
              <w:rPr>
                <w:rFonts w:cs="Arial" w:ascii="Arial" w:hAnsi="Arial"/>
                <w:sz w:val="21"/>
                <w:szCs w:val="21"/>
              </w:rPr>
              <w:t>30</w:t>
            </w:r>
          </w:p>
        </w:tc>
      </w:tr>
    </w:tbl>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Normal"/>
        <w:rPr>
          <w:rFonts w:cs="Arial"/>
          <w:b/>
          <w:b/>
          <w:szCs w:val="20"/>
        </w:rPr>
      </w:pPr>
      <w:r>
        <w:rPr>
          <w:rFonts w:cs="Arial"/>
          <w:b/>
          <w:szCs w:val="20"/>
        </w:rPr>
      </w:r>
    </w:p>
    <w:tbl>
      <w:tblPr>
        <w:tblW w:w="9014" w:type="dxa"/>
        <w:jc w:val="left"/>
        <w:tblInd w:w="-20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959"/>
        <w:gridCol w:w="5559"/>
        <w:gridCol w:w="1307"/>
        <w:gridCol w:w="1188"/>
      </w:tblGrid>
      <w:tr>
        <w:trPr/>
        <w:tc>
          <w:tcPr>
            <w:tcW w:w="9013"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3: Aquisição de Produtos Alimentícios e Outros</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17</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Açúcar cristal</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40</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18</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Extrato de própolis, conta gotas, frasco com 30mL</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19</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Gordura vegetal hidrogenada, (pacote com 500g)</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Pacote com 500g</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08</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Mel de abelha 100% puro</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04</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21</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Óleo de coco, embalagem com 500ml</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Normal"/>
              <w:snapToGrid w:val="false"/>
              <w:jc w:val="center"/>
              <w:rPr>
                <w:rFonts w:ascii="Arial" w:hAnsi="Arial" w:eastAsia="Arial" w:cs="Arial"/>
                <w:color w:val="000000"/>
                <w:sz w:val="20"/>
                <w:szCs w:val="20"/>
              </w:rPr>
            </w:pPr>
            <w:r>
              <w:rPr>
                <w:rFonts w:eastAsia="Arial" w:cs="Arial" w:ascii="Arial" w:hAnsi="Arial"/>
                <w:color w:val="000000"/>
                <w:sz w:val="20"/>
                <w:szCs w:val="20"/>
              </w:rPr>
              <w:t>25</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22</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Óleo vegetal de canola, embalagem com 900mL</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900 ml</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07</w:t>
            </w:r>
          </w:p>
        </w:tc>
      </w:tr>
      <w:tr>
        <w:trPr/>
        <w:tc>
          <w:tcPr>
            <w:tcW w:w="9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23</w:t>
            </w:r>
          </w:p>
        </w:tc>
        <w:tc>
          <w:tcPr>
            <w:tcW w:w="5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Sabão de coco em barra</w:t>
            </w:r>
          </w:p>
        </w:tc>
        <w:tc>
          <w:tcPr>
            <w:tcW w:w="13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10</w:t>
            </w:r>
          </w:p>
        </w:tc>
      </w:tr>
    </w:tbl>
    <w:p>
      <w:pPr>
        <w:pStyle w:val="Normal"/>
        <w:rPr>
          <w:rFonts w:cs="Arial"/>
          <w:b/>
          <w:b/>
          <w:szCs w:val="20"/>
        </w:rPr>
      </w:pPr>
      <w:r>
        <w:rPr>
          <w:rFonts w:cs="Arial"/>
          <w:b/>
          <w:szCs w:val="20"/>
        </w:rPr>
      </w:r>
    </w:p>
    <w:p>
      <w:pPr>
        <w:pStyle w:val="Normal"/>
        <w:rPr>
          <w:rFonts w:cs="Arial"/>
          <w:b/>
          <w:b/>
          <w:szCs w:val="20"/>
        </w:rPr>
      </w:pPr>
      <w:r>
        <w:rPr>
          <w:rFonts w:cs="Arial"/>
          <w:b/>
          <w:szCs w:val="20"/>
        </w:rPr>
      </w:r>
    </w:p>
    <w:p>
      <w:pPr>
        <w:pStyle w:val="Contedodetabela"/>
        <w:snapToGrid w:val="false"/>
        <w:jc w:val="center"/>
        <w:rPr>
          <w:rFonts w:cs="Arial"/>
          <w:b/>
          <w:b/>
          <w:bCs/>
          <w:sz w:val="18"/>
          <w:szCs w:val="18"/>
        </w:rPr>
      </w:pPr>
      <w:r>
        <w:rPr>
          <w:rFonts w:cs="Arial"/>
          <w:b/>
          <w:bCs/>
          <w:sz w:val="18"/>
          <w:szCs w:val="18"/>
        </w:rPr>
      </w:r>
    </w:p>
    <w:tbl>
      <w:tblPr>
        <w:tblW w:w="9135" w:type="dxa"/>
        <w:jc w:val="left"/>
        <w:tblInd w:w="-1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900"/>
        <w:gridCol w:w="5278"/>
        <w:gridCol w:w="1472"/>
        <w:gridCol w:w="1484"/>
      </w:tblGrid>
      <w:tr>
        <w:trPr/>
        <w:tc>
          <w:tcPr>
            <w:tcW w:w="913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4: Aquisição de Descartáveis</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4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w:t>
            </w:r>
          </w:p>
        </w:tc>
        <w:tc>
          <w:tcPr>
            <w:tcW w:w="14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24</w:t>
            </w:r>
          </w:p>
        </w:tc>
        <w:tc>
          <w:tcPr>
            <w:tcW w:w="5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Avental descartável com manga caixa, (</w:t>
            </w:r>
            <w:r>
              <w:rPr>
                <w:rStyle w:val="Fontepargpadro"/>
                <w:rFonts w:cs="Times New Roman" w:ascii="Arial" w:hAnsi="Arial"/>
                <w:color w:val="000000"/>
                <w:sz w:val="20"/>
                <w:szCs w:val="20"/>
              </w:rPr>
              <w:t>Caixa com 10unidades</w:t>
            </w:r>
            <w:r>
              <w:rPr>
                <w:rStyle w:val="Fontepargpadro"/>
                <w:rFonts w:cs="Arial" w:ascii="Arial" w:hAnsi="Arial"/>
                <w:sz w:val="20"/>
                <w:szCs w:val="20"/>
              </w:rPr>
              <w:t>)</w:t>
            </w:r>
          </w:p>
        </w:tc>
        <w:tc>
          <w:tcPr>
            <w:tcW w:w="14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Normal"/>
              <w:suppressAutoHyphens w:val="false"/>
              <w:snapToGrid w:val="false"/>
              <w:spacing w:before="0" w:after="113"/>
              <w:jc w:val="center"/>
              <w:rPr>
                <w:rFonts w:ascii="Arial" w:hAnsi="Arial" w:cs="Times New Roman"/>
                <w:color w:val="000000"/>
                <w:sz w:val="20"/>
                <w:szCs w:val="20"/>
              </w:rPr>
            </w:pPr>
            <w:r>
              <w:rPr>
                <w:rFonts w:cs="Times New Roman" w:ascii="Arial" w:hAnsi="Arial"/>
                <w:color w:val="000000"/>
                <w:sz w:val="20"/>
                <w:szCs w:val="20"/>
              </w:rPr>
              <w:t>Caixa com 10unidades</w:t>
            </w:r>
          </w:p>
        </w:tc>
        <w:tc>
          <w:tcPr>
            <w:tcW w:w="14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Normal"/>
              <w:snapToGrid w:val="false"/>
              <w:jc w:val="center"/>
              <w:rPr>
                <w:rFonts w:ascii="Arial" w:hAnsi="Arial" w:cs="Times New Roman"/>
                <w:color w:val="000000"/>
                <w:sz w:val="20"/>
                <w:szCs w:val="20"/>
              </w:rPr>
            </w:pPr>
            <w:r>
              <w:rPr>
                <w:rFonts w:cs="Times New Roman" w:ascii="Arial" w:hAnsi="Arial"/>
                <w:color w:val="000000"/>
                <w:sz w:val="20"/>
                <w:szCs w:val="20"/>
              </w:rPr>
              <w:t>5</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color w:val="000000"/>
                <w:sz w:val="20"/>
                <w:szCs w:val="20"/>
              </w:rPr>
            </w:pPr>
            <w:r>
              <w:rPr>
                <w:rFonts w:cs="Arial" w:ascii="Arial" w:hAnsi="Arial"/>
                <w:color w:val="000000"/>
                <w:sz w:val="20"/>
                <w:szCs w:val="20"/>
              </w:rPr>
              <w:t>25</w:t>
            </w:r>
          </w:p>
        </w:tc>
        <w:tc>
          <w:tcPr>
            <w:tcW w:w="5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color w:val="000000"/>
                <w:sz w:val="20"/>
                <w:szCs w:val="20"/>
              </w:rPr>
            </w:pPr>
            <w:r>
              <w:rPr>
                <w:rFonts w:cs="Arial" w:ascii="Arial" w:hAnsi="Arial"/>
                <w:color w:val="000000"/>
                <w:sz w:val="20"/>
                <w:szCs w:val="20"/>
              </w:rPr>
              <w:t>Touca descartável (pacote com 100 unidades)</w:t>
            </w:r>
          </w:p>
        </w:tc>
        <w:tc>
          <w:tcPr>
            <w:tcW w:w="14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color w:val="000000"/>
                <w:sz w:val="20"/>
                <w:szCs w:val="20"/>
              </w:rPr>
            </w:pPr>
            <w:r>
              <w:rPr>
                <w:rFonts w:cs="Arial" w:ascii="Arial" w:hAnsi="Arial"/>
                <w:color w:val="000000"/>
                <w:sz w:val="20"/>
                <w:szCs w:val="20"/>
              </w:rPr>
              <w:t>Pacote com 100 unidades</w:t>
            </w:r>
          </w:p>
        </w:tc>
        <w:tc>
          <w:tcPr>
            <w:tcW w:w="14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10</w:t>
            </w:r>
          </w:p>
        </w:tc>
      </w:tr>
      <w:tr>
        <w:trPr>
          <w:trHeight w:val="582" w:hRule="atLeast"/>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26</w:t>
            </w:r>
          </w:p>
        </w:tc>
        <w:tc>
          <w:tcPr>
            <w:tcW w:w="5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Máscaras descartáveis, tripla, tipo cirúrgica. Caixa com 50 unidades.</w:t>
            </w:r>
          </w:p>
        </w:tc>
        <w:tc>
          <w:tcPr>
            <w:tcW w:w="14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Caixa com 50 unidades.</w:t>
            </w:r>
          </w:p>
        </w:tc>
        <w:tc>
          <w:tcPr>
            <w:tcW w:w="14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w:t>
            </w:r>
          </w:p>
        </w:tc>
      </w:tr>
    </w:tbl>
    <w:p>
      <w:pPr>
        <w:pStyle w:val="Normal"/>
        <w:rPr>
          <w:rFonts w:cs="Arial"/>
          <w:b/>
          <w:b/>
          <w:szCs w:val="20"/>
        </w:rPr>
      </w:pPr>
      <w:r>
        <w:rPr>
          <w:rFonts w:cs="Arial"/>
          <w:b/>
          <w:szCs w:val="20"/>
        </w:rPr>
      </w:r>
    </w:p>
    <w:p>
      <w:pPr>
        <w:pStyle w:val="Normal"/>
        <w:rPr>
          <w:rFonts w:cs="Arial"/>
          <w:b/>
          <w:b/>
          <w:bCs/>
          <w:sz w:val="18"/>
          <w:szCs w:val="18"/>
        </w:rPr>
      </w:pPr>
      <w:r>
        <w:rPr>
          <w:rFonts w:cs="Arial"/>
          <w:b/>
          <w:bCs/>
          <w:sz w:val="18"/>
          <w:szCs w:val="18"/>
        </w:rPr>
      </w:r>
    </w:p>
    <w:p>
      <w:pPr>
        <w:pStyle w:val="Normal"/>
        <w:rPr>
          <w:rFonts w:cs="Arial"/>
          <w:b/>
          <w:b/>
          <w:bCs/>
          <w:sz w:val="18"/>
          <w:szCs w:val="18"/>
        </w:rPr>
      </w:pPr>
      <w:r>
        <w:rPr>
          <w:rFonts w:cs="Arial"/>
          <w:b/>
          <w:bCs/>
          <w:sz w:val="18"/>
          <w:szCs w:val="18"/>
        </w:rPr>
      </w:r>
    </w:p>
    <w:p>
      <w:pPr>
        <w:pStyle w:val="Normal"/>
        <w:rPr>
          <w:rFonts w:cs="Arial"/>
          <w:b/>
          <w:b/>
          <w:bCs/>
          <w:sz w:val="18"/>
          <w:szCs w:val="18"/>
        </w:rPr>
      </w:pPr>
      <w:r>
        <w:rPr>
          <w:rFonts w:cs="Arial"/>
          <w:b/>
          <w:bCs/>
          <w:sz w:val="18"/>
          <w:szCs w:val="18"/>
        </w:rPr>
      </w:r>
    </w:p>
    <w:tbl>
      <w:tblPr>
        <w:tblW w:w="9123"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1132"/>
        <w:gridCol w:w="5170"/>
        <w:gridCol w:w="1527"/>
        <w:gridCol w:w="1293"/>
      </w:tblGrid>
      <w:tr>
        <w:trPr/>
        <w:tc>
          <w:tcPr>
            <w:tcW w:w="9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jc w:val="center"/>
              <w:rPr>
                <w:rFonts w:ascii="Arial" w:hAnsi="Arial"/>
                <w:b/>
                <w:b/>
                <w:bCs/>
                <w:sz w:val="20"/>
                <w:szCs w:val="20"/>
              </w:rPr>
            </w:pPr>
            <w:r>
              <w:rPr>
                <w:rFonts w:ascii="Arial" w:hAnsi="Arial"/>
                <w:b/>
                <w:bCs/>
                <w:sz w:val="20"/>
                <w:szCs w:val="20"/>
              </w:rPr>
              <w:t>Grupo 5: Aquisição de Utensílios Domésticos</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27</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Arial" w:cs="Arial"/>
                <w:sz w:val="20"/>
                <w:szCs w:val="20"/>
              </w:rPr>
            </w:pPr>
            <w:r>
              <w:rPr>
                <w:rFonts w:eastAsia="Arial" w:cs="Arial" w:ascii="Arial" w:hAnsi="Arial"/>
                <w:sz w:val="20"/>
                <w:szCs w:val="20"/>
              </w:rPr>
              <w:t>Balde de plástico  transparente graduado (20 litros)</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Arial" w:cs="Arial"/>
                <w:sz w:val="20"/>
                <w:szCs w:val="20"/>
              </w:rPr>
            </w:pPr>
            <w:r>
              <w:rPr>
                <w:rFonts w:eastAsia="Arial"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01</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28</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Arial" w:cs="Arial"/>
                <w:sz w:val="20"/>
                <w:szCs w:val="20"/>
              </w:rPr>
            </w:pPr>
            <w:r>
              <w:rPr>
                <w:rFonts w:eastAsia="Arial" w:cs="Arial" w:ascii="Arial" w:hAnsi="Arial"/>
                <w:sz w:val="20"/>
                <w:szCs w:val="20"/>
              </w:rPr>
              <w:t>Caixa plástica sem tampa 15 litros</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Arial" w:cs="Arial"/>
                <w:sz w:val="20"/>
                <w:szCs w:val="20"/>
              </w:rPr>
            </w:pPr>
            <w:r>
              <w:rPr>
                <w:rFonts w:eastAsia="Arial"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05</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29</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Arial" w:cs="Arial"/>
                <w:sz w:val="20"/>
                <w:szCs w:val="20"/>
              </w:rPr>
            </w:pPr>
            <w:r>
              <w:rPr>
                <w:rFonts w:eastAsia="Arial" w:cs="Arial" w:ascii="Arial" w:hAnsi="Arial"/>
                <w:sz w:val="20"/>
                <w:szCs w:val="20"/>
              </w:rPr>
              <w:t>Caldeirão em aço inox, fundo triplo, com tampa e alça, com capacidade de 9,6 a 11,9 litros</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Arial" w:cs="Arial"/>
                <w:sz w:val="20"/>
                <w:szCs w:val="20"/>
              </w:rPr>
            </w:pPr>
            <w:r>
              <w:rPr>
                <w:rFonts w:eastAsia="Arial"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03</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30</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Arial" w:cs="Arial"/>
                <w:sz w:val="20"/>
                <w:szCs w:val="20"/>
              </w:rPr>
            </w:pPr>
            <w:r>
              <w:rPr>
                <w:rFonts w:eastAsia="Arial" w:cs="Arial" w:ascii="Arial" w:hAnsi="Arial"/>
                <w:sz w:val="20"/>
                <w:szCs w:val="20"/>
              </w:rPr>
              <w:t>Colher de servir em aço inox, com cabo de baquelite, medindo 26 a 33 cm</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Arial" w:cs="Arial"/>
                <w:sz w:val="20"/>
                <w:szCs w:val="20"/>
              </w:rPr>
            </w:pPr>
            <w:r>
              <w:rPr>
                <w:rFonts w:eastAsia="Arial"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eastAsia="Arial" w:cs="Arial"/>
                <w:sz w:val="20"/>
                <w:szCs w:val="20"/>
              </w:rPr>
            </w:pPr>
            <w:r>
              <w:rPr>
                <w:rFonts w:eastAsia="Arial" w:cs="Arial" w:ascii="Arial" w:hAnsi="Arial"/>
                <w:sz w:val="20"/>
                <w:szCs w:val="20"/>
              </w:rPr>
              <w:t>05</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31</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Funil dosador para líquido, aço inox com suporte</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cs="Arial"/>
                <w:szCs w:val="20"/>
              </w:rPr>
            </w:pPr>
            <w:r>
              <w:rPr>
                <w:rFonts w:cs="Arial"/>
                <w:szCs w:val="20"/>
              </w:rPr>
              <w:t>03</w:t>
            </w:r>
          </w:p>
        </w:tc>
      </w:tr>
      <w:tr>
        <w:trPr/>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32</w:t>
            </w:r>
          </w:p>
        </w:tc>
        <w:tc>
          <w:tcPr>
            <w:tcW w:w="51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Normal"/>
              <w:suppressAutoHyphens w:val="false"/>
              <w:snapToGrid w:val="false"/>
              <w:spacing w:lineRule="atLeast" w:line="100" w:before="0" w:after="113"/>
              <w:ind w:left="-10" w:right="5" w:hanging="0"/>
              <w:jc w:val="both"/>
              <w:rPr/>
            </w:pPr>
            <w:r>
              <w:rPr>
                <w:rStyle w:val="Fontepargpadro"/>
                <w:rFonts w:cs="Times New Roman" w:ascii="Arial" w:hAnsi="Arial"/>
                <w:sz w:val="20"/>
                <w:szCs w:val="20"/>
              </w:rPr>
              <w:t>Bandeja plástica,</w:t>
            </w:r>
            <w:r>
              <w:rPr>
                <w:rStyle w:val="Fontepargpadro"/>
                <w:rFonts w:cs="Times New Roman" w:ascii="Arial" w:hAnsi="Arial"/>
                <w:color w:val="000000"/>
                <w:sz w:val="20"/>
                <w:szCs w:val="20"/>
              </w:rPr>
              <w:t xml:space="preserve"> retangular</w:t>
            </w:r>
            <w:r>
              <w:rPr>
                <w:rStyle w:val="Fontepargpadro"/>
                <w:rFonts w:cs="Times New Roman" w:ascii="Arial" w:hAnsi="Arial"/>
                <w:sz w:val="20"/>
                <w:szCs w:val="20"/>
              </w:rPr>
              <w:t>, 13,7L</w:t>
            </w:r>
          </w:p>
        </w:tc>
        <w:tc>
          <w:tcPr>
            <w:tcW w:w="15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2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cs="Arial"/>
                <w:szCs w:val="20"/>
              </w:rPr>
            </w:pPr>
            <w:r>
              <w:rPr>
                <w:rFonts w:cs="Arial"/>
                <w:szCs w:val="20"/>
              </w:rPr>
              <w:t>05</w:t>
            </w:r>
          </w:p>
        </w:tc>
      </w:tr>
    </w:tbl>
    <w:p>
      <w:pPr>
        <w:pStyle w:val="Normal"/>
        <w:rPr>
          <w:rFonts w:cs="Arial"/>
          <w:b/>
          <w:b/>
          <w:szCs w:val="20"/>
        </w:rPr>
      </w:pPr>
      <w:r>
        <w:rPr>
          <w:rFonts w:cs="Arial"/>
          <w:b/>
          <w:szCs w:val="20"/>
        </w:rPr>
      </w:r>
    </w:p>
    <w:p>
      <w:pPr>
        <w:pStyle w:val="Contedodetabela"/>
        <w:snapToGrid w:val="false"/>
        <w:jc w:val="center"/>
        <w:rPr>
          <w:rFonts w:cs="Arial"/>
          <w:b/>
          <w:b/>
          <w:bCs/>
          <w:sz w:val="18"/>
          <w:szCs w:val="18"/>
        </w:rPr>
      </w:pPr>
      <w:r>
        <w:rPr>
          <w:rFonts w:cs="Arial"/>
          <w:b/>
          <w:bCs/>
          <w:sz w:val="18"/>
          <w:szCs w:val="18"/>
        </w:rPr>
      </w:r>
    </w:p>
    <w:tbl>
      <w:tblPr>
        <w:tblW w:w="9068" w:type="dxa"/>
        <w:jc w:val="left"/>
        <w:tblInd w:w="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1009"/>
        <w:gridCol w:w="5196"/>
        <w:gridCol w:w="1539"/>
        <w:gridCol w:w="1323"/>
      </w:tblGrid>
      <w:tr>
        <w:trPr/>
        <w:tc>
          <w:tcPr>
            <w:tcW w:w="906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6: Aquisição de Itens Diversos</w:t>
            </w:r>
          </w:p>
        </w:tc>
      </w:tr>
      <w:tr>
        <w:trPr/>
        <w:tc>
          <w:tcPr>
            <w:tcW w:w="1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1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w:t>
            </w:r>
          </w:p>
        </w:tc>
        <w:tc>
          <w:tcPr>
            <w:tcW w:w="13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1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33</w:t>
            </w:r>
          </w:p>
        </w:tc>
        <w:tc>
          <w:tcPr>
            <w:tcW w:w="51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Acetato cristal transparente, tamanho mínimo A4 (tamanho ideal 370 x 240 mm), com espessura mínima de 0,4 mm (ideal de 0,5 mm), pacote com 50 folhas.</w:t>
            </w:r>
          </w:p>
        </w:tc>
        <w:tc>
          <w:tcPr>
            <w:tcW w:w="1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Pacote com 50 folhas</w:t>
            </w:r>
          </w:p>
        </w:tc>
        <w:tc>
          <w:tcPr>
            <w:tcW w:w="13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150</w:t>
            </w:r>
          </w:p>
        </w:tc>
      </w:tr>
      <w:tr>
        <w:trPr/>
        <w:tc>
          <w:tcPr>
            <w:tcW w:w="1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34</w:t>
            </w:r>
          </w:p>
        </w:tc>
        <w:tc>
          <w:tcPr>
            <w:tcW w:w="51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Bico de latão para impressora 3D, modelo MK10, diâmetro de extrusão de 0,4 mm.</w:t>
            </w:r>
          </w:p>
        </w:tc>
        <w:tc>
          <w:tcPr>
            <w:tcW w:w="1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3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w:t>
            </w:r>
          </w:p>
        </w:tc>
      </w:tr>
      <w:tr>
        <w:trPr/>
        <w:tc>
          <w:tcPr>
            <w:tcW w:w="1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35</w:t>
            </w:r>
          </w:p>
        </w:tc>
        <w:tc>
          <w:tcPr>
            <w:tcW w:w="51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pPr>
            <w:r>
              <w:rPr>
                <w:rStyle w:val="Fontepargpadro"/>
                <w:rFonts w:cs="Arial" w:ascii="Arial" w:hAnsi="Arial"/>
                <w:sz w:val="20"/>
                <w:szCs w:val="20"/>
              </w:rPr>
              <w:t xml:space="preserve">Filamento ABS ou PLA , </w:t>
            </w:r>
            <w:r>
              <w:rPr>
                <w:rStyle w:val="Fontepargpadro"/>
                <w:rFonts w:cs="Arial" w:ascii="Arial" w:hAnsi="Arial"/>
                <w:color w:val="000000"/>
                <w:sz w:val="20"/>
                <w:szCs w:val="20"/>
              </w:rPr>
              <w:t>1,75mm</w:t>
            </w:r>
            <w:r>
              <w:rPr>
                <w:rStyle w:val="Fontepargpadro"/>
                <w:rFonts w:cs="Arial" w:ascii="Arial" w:hAnsi="Arial"/>
                <w:sz w:val="20"/>
                <w:szCs w:val="20"/>
              </w:rPr>
              <w:t>. (Rolo com 1kg)</w:t>
            </w:r>
          </w:p>
        </w:tc>
        <w:tc>
          <w:tcPr>
            <w:tcW w:w="1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Rolo de 01 Kg</w:t>
            </w:r>
          </w:p>
        </w:tc>
        <w:tc>
          <w:tcPr>
            <w:tcW w:w="13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50</w:t>
            </w:r>
          </w:p>
        </w:tc>
      </w:tr>
    </w:tbl>
    <w:p>
      <w:pPr>
        <w:pStyle w:val="Normal"/>
        <w:rPr>
          <w:rFonts w:cs="Arial"/>
          <w:color w:val="000000"/>
          <w:szCs w:val="20"/>
        </w:rPr>
      </w:pPr>
      <w:r>
        <w:rPr>
          <w:rFonts w:cs="Arial"/>
          <w:color w:val="000000"/>
          <w:szCs w:val="20"/>
        </w:rPr>
      </w:r>
    </w:p>
    <w:p>
      <w:pPr>
        <w:pStyle w:val="Normal"/>
        <w:rPr>
          <w:rFonts w:cs="Arial"/>
          <w:color w:val="000000"/>
          <w:szCs w:val="20"/>
        </w:rPr>
      </w:pPr>
      <w:r>
        <w:rPr>
          <w:rFonts w:cs="Arial"/>
          <w:color w:val="000000"/>
          <w:szCs w:val="20"/>
        </w:rPr>
      </w:r>
    </w:p>
    <w:p>
      <w:pPr>
        <w:pStyle w:val="Contedodetabela"/>
        <w:snapToGrid w:val="false"/>
        <w:jc w:val="center"/>
        <w:rPr>
          <w:rFonts w:cs="Arial"/>
          <w:color w:val="000000"/>
          <w:szCs w:val="20"/>
        </w:rPr>
      </w:pPr>
      <w:r>
        <w:rPr>
          <w:rFonts w:cs="Arial"/>
          <w:color w:val="000000"/>
          <w:szCs w:val="20"/>
        </w:rPr>
      </w:r>
    </w:p>
    <w:tbl>
      <w:tblPr>
        <w:tblW w:w="9015" w:type="dxa"/>
        <w:jc w:val="left"/>
        <w:tblInd w:w="1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900"/>
        <w:gridCol w:w="5296"/>
        <w:gridCol w:w="1409"/>
        <w:gridCol w:w="1409"/>
      </w:tblGrid>
      <w:tr>
        <w:trPr/>
        <w:tc>
          <w:tcPr>
            <w:tcW w:w="901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7: Aquisição de Produtos Químicos</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Descrição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rPr>
            </w:pPr>
            <w:r>
              <w:rPr>
                <w:rFonts w:eastAsia="Times New Roman" w:cs="Arial" w:ascii="Arial" w:hAnsi="Arial"/>
                <w:b/>
                <w:bCs/>
                <w:color w:val="000000"/>
                <w:sz w:val="20"/>
                <w:szCs w:val="20"/>
                <w:lang w:eastAsia="ar-SA"/>
              </w:rPr>
              <w:t>Unidade de Fornecimento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66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36</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Etilenoglicol em frascos de 1.000ml</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Times New Roman" w:cs="Arial"/>
                <w:sz w:val="20"/>
                <w:szCs w:val="20"/>
                <w:lang w:eastAsia="ar-SA"/>
              </w:rPr>
            </w:pPr>
            <w:r>
              <w:rPr>
                <w:rFonts w:eastAsia="Times New Roman" w:cs="Arial" w:ascii="Arial" w:hAnsi="Arial"/>
                <w:sz w:val="20"/>
                <w:szCs w:val="20"/>
                <w:lang w:eastAsia="ar-SA"/>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37</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Essência de limão em fracos de 1.000ml</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60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38</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Essência para desinfetante: Essências de diversas fragrâncias para produção de saneantes (litro)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60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39</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Hipoclorito de sódio (Litro)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350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40</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Salicilato de Metila em frascos de 1.000ml</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41</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Vaselina liquida em frascos de 1.000ml</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 xml:space="preserve">Litro </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42</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Álcool etílico 96% frasco com 1000 ml</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12.000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43</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Coagulante espessante: Produto de Coagulação para produção de gel (kg)</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600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44</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Luvas nitrílicas, caixa com 100 unidades</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Caixa com 100 unidades</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45</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Glicerina bi-destilada (litro)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46</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Mix para desinfetante: Mix concentrado para produção de desinfetante (litro)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150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47</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Carbonato de Sódio (Kg)</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w:t>
            </w:r>
          </w:p>
        </w:tc>
      </w:tr>
      <w:tr>
        <w:trPr/>
        <w:tc>
          <w:tcPr>
            <w:tcW w:w="9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48</w:t>
            </w:r>
          </w:p>
        </w:tc>
        <w:tc>
          <w:tcPr>
            <w:tcW w:w="52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Hidróxido de sódio em escamas</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4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06</w:t>
            </w:r>
          </w:p>
        </w:tc>
      </w:tr>
    </w:tbl>
    <w:p>
      <w:pPr>
        <w:pStyle w:val="Normal"/>
        <w:spacing w:lineRule="auto" w:line="276" w:before="120" w:after="120"/>
        <w:ind w:left="425" w:right="0" w:hanging="0"/>
        <w:jc w:val="both"/>
        <w:rPr>
          <w:rFonts w:cs="Arial"/>
          <w:color w:val="000000"/>
          <w:szCs w:val="20"/>
        </w:rPr>
      </w:pPr>
      <w:r>
        <w:rPr>
          <w:rFonts w:cs="Arial"/>
          <w:color w:val="000000"/>
          <w:szCs w:val="20"/>
        </w:rPr>
      </w:r>
    </w:p>
    <w:tbl>
      <w:tblPr>
        <w:tblW w:w="8877"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35" w:type="dxa"/>
          <w:bottom w:w="55" w:type="dxa"/>
          <w:right w:w="55" w:type="dxa"/>
        </w:tblCellMar>
      </w:tblPr>
      <w:tblGrid>
        <w:gridCol w:w="837"/>
        <w:gridCol w:w="5225"/>
        <w:gridCol w:w="1487"/>
        <w:gridCol w:w="1327"/>
      </w:tblGrid>
      <w:tr>
        <w:trPr/>
        <w:tc>
          <w:tcPr>
            <w:tcW w:w="88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77BC65" w:val="clear"/>
            <w:tcMar>
              <w:left w:w="35" w:type="dxa"/>
            </w:tcMar>
          </w:tcPr>
          <w:p>
            <w:pPr>
              <w:pStyle w:val="Contedodatabela"/>
              <w:jc w:val="center"/>
              <w:rPr>
                <w:rFonts w:ascii="Arial" w:hAnsi="Arial"/>
                <w:b/>
                <w:b/>
                <w:bCs/>
                <w:i w:val="false"/>
                <w:i w:val="false"/>
                <w:iCs w:val="false"/>
                <w:strike w:val="false"/>
                <w:dstrike w:val="false"/>
                <w:outline w:val="false"/>
                <w:shadow w:val="false"/>
                <w:color w:val="000000"/>
                <w:sz w:val="20"/>
                <w:szCs w:val="20"/>
                <w:u w:val="none"/>
              </w:rPr>
            </w:pPr>
            <w:r>
              <w:rPr>
                <w:rFonts w:ascii="Arial" w:hAnsi="Arial"/>
                <w:b/>
                <w:bCs/>
                <w:i w:val="false"/>
                <w:iCs w:val="false"/>
                <w:strike w:val="false"/>
                <w:dstrike w:val="false"/>
                <w:outline w:val="false"/>
                <w:shadow w:val="false"/>
                <w:color w:val="000000"/>
                <w:sz w:val="20"/>
                <w:szCs w:val="20"/>
                <w:u w:val="none"/>
              </w:rPr>
              <w:t>ITENS SEPARADOS</w:t>
            </w:r>
          </w:p>
        </w:tc>
      </w:tr>
      <w:tr>
        <w:trPr/>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b/>
                <w:bCs/>
                <w:i w:val="false"/>
                <w:i w:val="false"/>
                <w:iCs w:val="false"/>
                <w:strike w:val="false"/>
                <w:dstrike w:val="false"/>
                <w:outline w:val="false"/>
                <w:shadow w:val="false"/>
                <w:color w:val="000000"/>
                <w:sz w:val="20"/>
                <w:szCs w:val="20"/>
                <w:u w:val="none"/>
              </w:rPr>
            </w:pPr>
            <w:r>
              <w:rPr>
                <w:rFonts w:ascii="Arial" w:hAnsi="Arial"/>
                <w:b/>
                <w:bCs/>
                <w:i w:val="false"/>
                <w:iCs w:val="false"/>
                <w:strike w:val="false"/>
                <w:dstrike w:val="false"/>
                <w:outline w:val="false"/>
                <w:shadow w:val="false"/>
                <w:color w:val="000000"/>
                <w:sz w:val="20"/>
                <w:szCs w:val="20"/>
                <w:u w:val="none"/>
              </w:rPr>
              <w:t xml:space="preserve">Item </w:t>
            </w:r>
          </w:p>
        </w:tc>
        <w:tc>
          <w:tcPr>
            <w:tcW w:w="5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b/>
                <w:bCs/>
                <w:i w:val="false"/>
                <w:i w:val="false"/>
                <w:iCs w:val="false"/>
                <w:strike w:val="false"/>
                <w:dstrike w:val="false"/>
                <w:outline w:val="false"/>
                <w:shadow w:val="false"/>
                <w:color w:val="000000"/>
                <w:sz w:val="20"/>
                <w:szCs w:val="20"/>
                <w:u w:val="none"/>
              </w:rPr>
            </w:pPr>
            <w:r>
              <w:rPr>
                <w:rFonts w:ascii="Arial" w:hAnsi="Arial"/>
                <w:b/>
                <w:bCs/>
                <w:i w:val="false"/>
                <w:iCs w:val="false"/>
                <w:strike w:val="false"/>
                <w:dstrike w:val="false"/>
                <w:outline w:val="false"/>
                <w:shadow w:val="false"/>
                <w:color w:val="000000"/>
                <w:sz w:val="20"/>
                <w:szCs w:val="20"/>
                <w:u w:val="none"/>
              </w:rPr>
              <w:t xml:space="preserve">Descrição </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b/>
                <w:bCs/>
                <w:i w:val="false"/>
                <w:i w:val="false"/>
                <w:iCs w:val="false"/>
                <w:strike w:val="false"/>
                <w:dstrike w:val="false"/>
                <w:outline w:val="false"/>
                <w:shadow w:val="false"/>
                <w:color w:val="000000"/>
                <w:sz w:val="20"/>
                <w:szCs w:val="20"/>
                <w:u w:val="none"/>
              </w:rPr>
            </w:pPr>
            <w:r>
              <w:rPr>
                <w:rFonts w:ascii="Arial" w:hAnsi="Arial"/>
                <w:b/>
                <w:bCs/>
                <w:i w:val="false"/>
                <w:iCs w:val="false"/>
                <w:strike w:val="false"/>
                <w:dstrike w:val="false"/>
                <w:outline w:val="false"/>
                <w:shadow w:val="false"/>
                <w:color w:val="000000"/>
                <w:sz w:val="20"/>
                <w:szCs w:val="20"/>
                <w:u w:val="none"/>
              </w:rPr>
              <w:t>Unidade de Fornecimento</w:t>
            </w:r>
          </w:p>
        </w:tc>
        <w:tc>
          <w:tcPr>
            <w:tcW w:w="1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b/>
                <w:bCs/>
                <w:i w:val="false"/>
                <w:i w:val="false"/>
                <w:iCs w:val="false"/>
                <w:strike w:val="false"/>
                <w:dstrike w:val="false"/>
                <w:outline w:val="false"/>
                <w:shadow w:val="false"/>
                <w:color w:val="000000"/>
                <w:sz w:val="20"/>
                <w:szCs w:val="20"/>
                <w:u w:val="none"/>
              </w:rPr>
            </w:pPr>
            <w:r>
              <w:rPr>
                <w:rFonts w:ascii="Arial" w:hAnsi="Arial"/>
                <w:b/>
                <w:bCs/>
                <w:i w:val="false"/>
                <w:iCs w:val="false"/>
                <w:strike w:val="false"/>
                <w:dstrike w:val="false"/>
                <w:outline w:val="false"/>
                <w:shadow w:val="false"/>
                <w:color w:val="000000"/>
                <w:sz w:val="20"/>
                <w:szCs w:val="20"/>
                <w:u w:val="none"/>
              </w:rPr>
              <w:t xml:space="preserve">Quantidade </w:t>
            </w:r>
          </w:p>
        </w:tc>
      </w:tr>
      <w:tr>
        <w:trPr/>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napToGrid w:val="false"/>
              <w:jc w:val="center"/>
              <w:rPr>
                <w:rFonts w:ascii="Arial" w:hAnsi="Arial" w:cs="Arial"/>
                <w:sz w:val="20"/>
                <w:szCs w:val="20"/>
              </w:rPr>
            </w:pPr>
            <w:r>
              <w:rPr>
                <w:rFonts w:cs="Arial" w:ascii="Arial" w:hAnsi="Arial"/>
                <w:sz w:val="20"/>
                <w:szCs w:val="20"/>
              </w:rPr>
              <w:t>49</w:t>
            </w:r>
          </w:p>
        </w:tc>
        <w:tc>
          <w:tcPr>
            <w:tcW w:w="5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Elástico para dinheiro de 3mm pacote com 1200 un.</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napToGrid w:val="false"/>
              <w:jc w:val="center"/>
              <w:rPr>
                <w:rFonts w:ascii="Arial" w:hAnsi="Arial" w:cs="Arial"/>
                <w:b/>
                <w:b/>
                <w:bCs/>
                <w:sz w:val="20"/>
                <w:szCs w:val="20"/>
              </w:rPr>
            </w:pPr>
            <w:r>
              <w:rPr>
                <w:rFonts w:cs="Arial" w:ascii="Arial" w:hAnsi="Arial"/>
                <w:b/>
                <w:bCs/>
                <w:sz w:val="20"/>
                <w:szCs w:val="20"/>
              </w:rPr>
              <w:t>01</w:t>
            </w:r>
          </w:p>
        </w:tc>
      </w:tr>
      <w:tr>
        <w:trPr/>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val="false"/>
                <w:b w:val="false"/>
                <w:bCs w:val="false"/>
                <w:i w:val="false"/>
                <w:i w:val="false"/>
                <w:iCs w:val="false"/>
                <w:strike w:val="false"/>
                <w:dstrike w:val="false"/>
                <w:outline w:val="false"/>
                <w:shadow w:val="false"/>
                <w:color w:val="000000"/>
                <w:sz w:val="20"/>
                <w:szCs w:val="20"/>
                <w:u w:val="none"/>
              </w:rPr>
            </w:pPr>
            <w:r>
              <w:rPr>
                <w:rFonts w:ascii="Arial" w:hAnsi="Arial"/>
                <w:b w:val="false"/>
                <w:bCs w:val="false"/>
                <w:i w:val="false"/>
                <w:iCs w:val="false"/>
                <w:strike w:val="false"/>
                <w:dstrike w:val="false"/>
                <w:outline w:val="false"/>
                <w:shadow w:val="false"/>
                <w:color w:val="000000"/>
                <w:sz w:val="20"/>
                <w:szCs w:val="20"/>
                <w:u w:val="none"/>
              </w:rPr>
              <w:t xml:space="preserve">  </w:t>
            </w:r>
            <w:r>
              <w:rPr>
                <w:rFonts w:ascii="Arial" w:hAnsi="Arial"/>
                <w:b w:val="false"/>
                <w:bCs w:val="false"/>
                <w:i w:val="false"/>
                <w:iCs w:val="false"/>
                <w:strike w:val="false"/>
                <w:dstrike w:val="false"/>
                <w:outline w:val="false"/>
                <w:shadow w:val="false"/>
                <w:color w:val="000000"/>
                <w:sz w:val="20"/>
                <w:szCs w:val="20"/>
                <w:u w:val="none"/>
              </w:rPr>
              <w:t>50</w:t>
            </w:r>
          </w:p>
        </w:tc>
        <w:tc>
          <w:tcPr>
            <w:tcW w:w="5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left"/>
              <w:rPr>
                <w:rFonts w:ascii="Arial" w:hAnsi="Arial"/>
                <w:b w:val="false"/>
                <w:b w:val="false"/>
                <w:bCs w:val="false"/>
                <w:i w:val="false"/>
                <w:i w:val="false"/>
                <w:iCs w:val="false"/>
                <w:strike w:val="false"/>
                <w:dstrike w:val="false"/>
                <w:outline w:val="false"/>
                <w:shadow w:val="false"/>
                <w:color w:val="000000"/>
                <w:sz w:val="20"/>
                <w:szCs w:val="20"/>
                <w:u w:val="none"/>
              </w:rPr>
            </w:pPr>
            <w:r>
              <w:rPr>
                <w:rFonts w:ascii="Arial" w:hAnsi="Arial"/>
                <w:b w:val="false"/>
                <w:bCs w:val="false"/>
                <w:i w:val="false"/>
                <w:iCs w:val="false"/>
                <w:strike w:val="false"/>
                <w:dstrike w:val="false"/>
                <w:outline w:val="false"/>
                <w:shadow w:val="false"/>
                <w:color w:val="000000"/>
                <w:sz w:val="20"/>
                <w:szCs w:val="20"/>
                <w:u w:val="none"/>
              </w:rPr>
              <w:t xml:space="preserve"> </w:t>
            </w:r>
            <w:r>
              <w:rPr>
                <w:rFonts w:ascii="Arial" w:hAnsi="Arial"/>
                <w:b w:val="false"/>
                <w:bCs w:val="false"/>
                <w:i w:val="false"/>
                <w:iCs w:val="false"/>
                <w:strike w:val="false"/>
                <w:dstrike w:val="false"/>
                <w:outline w:val="false"/>
                <w:shadow w:val="false"/>
                <w:color w:val="000000"/>
                <w:sz w:val="20"/>
                <w:szCs w:val="20"/>
                <w:u w:val="none"/>
              </w:rPr>
              <w:t>Molde de silicone para bala com 20 a 25 cavidades</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uppressAutoHyphens w:val="false"/>
              <w:snapToGrid w:val="false"/>
              <w:spacing w:lineRule="atLeast" w:line="100" w:before="0" w:after="113"/>
              <w:jc w:val="center"/>
              <w:rPr>
                <w:rFonts w:ascii="Arial" w:hAnsi="Arial" w:cs="Arial"/>
                <w:b w:val="false"/>
                <w:b w:val="false"/>
                <w:bCs w:val="false"/>
                <w:color w:val="000000"/>
                <w:sz w:val="20"/>
                <w:szCs w:val="20"/>
              </w:rPr>
            </w:pPr>
            <w:r>
              <w:rPr>
                <w:rFonts w:cs="Arial" w:ascii="Arial" w:hAnsi="Arial"/>
                <w:b w:val="false"/>
                <w:bCs w:val="false"/>
                <w:color w:val="000000"/>
                <w:sz w:val="20"/>
                <w:szCs w:val="20"/>
              </w:rPr>
              <w:t>Unidade</w:t>
            </w:r>
          </w:p>
        </w:tc>
        <w:tc>
          <w:tcPr>
            <w:tcW w:w="1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napToGrid w:val="false"/>
              <w:jc w:val="center"/>
              <w:rPr>
                <w:rFonts w:ascii="Arial" w:hAnsi="Arial" w:cs="Arial"/>
                <w:b/>
                <w:b/>
                <w:bCs/>
                <w:color w:val="000000"/>
                <w:sz w:val="20"/>
                <w:szCs w:val="20"/>
              </w:rPr>
            </w:pPr>
            <w:r>
              <w:rPr>
                <w:rFonts w:cs="Arial" w:ascii="Arial" w:hAnsi="Arial"/>
                <w:b/>
                <w:bCs/>
                <w:color w:val="000000"/>
                <w:sz w:val="20"/>
                <w:szCs w:val="20"/>
              </w:rPr>
              <w:t>10</w:t>
            </w:r>
          </w:p>
        </w:tc>
      </w:tr>
      <w:tr>
        <w:trPr/>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atabela"/>
              <w:jc w:val="center"/>
              <w:rPr>
                <w:rFonts w:ascii="Arial" w:hAnsi="Arial"/>
                <w:b w:val="false"/>
                <w:b w:val="false"/>
                <w:bCs w:val="false"/>
                <w:i w:val="false"/>
                <w:i w:val="false"/>
                <w:iCs w:val="false"/>
                <w:strike w:val="false"/>
                <w:dstrike w:val="false"/>
                <w:outline w:val="false"/>
                <w:shadow w:val="false"/>
                <w:color w:val="000000"/>
                <w:sz w:val="20"/>
                <w:szCs w:val="20"/>
                <w:u w:val="none"/>
              </w:rPr>
            </w:pPr>
            <w:r>
              <w:rPr>
                <w:rFonts w:ascii="Arial" w:hAnsi="Arial"/>
                <w:b w:val="false"/>
                <w:bCs w:val="false"/>
                <w:i w:val="false"/>
                <w:iCs w:val="false"/>
                <w:strike w:val="false"/>
                <w:dstrike w:val="false"/>
                <w:outline w:val="false"/>
                <w:shadow w:val="false"/>
                <w:color w:val="000000"/>
                <w:sz w:val="20"/>
                <w:szCs w:val="20"/>
                <w:u w:val="none"/>
              </w:rPr>
              <w:t xml:space="preserve">    </w:t>
            </w:r>
            <w:r>
              <w:rPr>
                <w:rFonts w:ascii="Arial" w:hAnsi="Arial"/>
                <w:b w:val="false"/>
                <w:bCs w:val="false"/>
                <w:i w:val="false"/>
                <w:iCs w:val="false"/>
                <w:strike w:val="false"/>
                <w:dstrike w:val="false"/>
                <w:outline w:val="false"/>
                <w:shadow w:val="false"/>
                <w:color w:val="000000"/>
                <w:sz w:val="20"/>
                <w:szCs w:val="20"/>
                <w:u w:val="none"/>
              </w:rPr>
              <w:t>51</w:t>
            </w:r>
          </w:p>
        </w:tc>
        <w:tc>
          <w:tcPr>
            <w:tcW w:w="5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jc w:val="left"/>
              <w:rPr>
                <w:rFonts w:ascii="Arial" w:hAnsi="Arial"/>
                <w:b w:val="false"/>
                <w:b w:val="false"/>
                <w:bCs w:val="false"/>
                <w:i w:val="false"/>
                <w:i w:val="false"/>
                <w:iCs w:val="false"/>
                <w:strike w:val="false"/>
                <w:dstrike w:val="false"/>
                <w:outline w:val="false"/>
                <w:shadow w:val="false"/>
                <w:color w:val="000000"/>
                <w:sz w:val="20"/>
                <w:szCs w:val="20"/>
                <w:u w:val="none"/>
              </w:rPr>
            </w:pPr>
            <w:r>
              <w:rPr>
                <w:rFonts w:ascii="Arial" w:hAnsi="Arial"/>
                <w:b w:val="false"/>
                <w:bCs w:val="false"/>
                <w:i w:val="false"/>
                <w:iCs w:val="false"/>
                <w:strike w:val="false"/>
                <w:dstrike w:val="false"/>
                <w:outline w:val="false"/>
                <w:shadow w:val="false"/>
                <w:color w:val="000000"/>
                <w:sz w:val="20"/>
                <w:szCs w:val="20"/>
                <w:u w:val="none"/>
              </w:rPr>
              <w:t>Molde de silicone retangular anatômico para sabonete com 06 cavidades</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uppressAutoHyphens w:val="false"/>
              <w:snapToGrid w:val="false"/>
              <w:spacing w:lineRule="atLeast" w:line="100" w:before="0" w:after="113"/>
              <w:jc w:val="center"/>
              <w:rPr>
                <w:rFonts w:ascii="Arial" w:hAnsi="Arial" w:cs="Arial"/>
                <w:b w:val="false"/>
                <w:b w:val="false"/>
                <w:bCs w:val="false"/>
                <w:color w:val="000000"/>
                <w:sz w:val="20"/>
                <w:szCs w:val="20"/>
              </w:rPr>
            </w:pPr>
            <w:r>
              <w:rPr>
                <w:rFonts w:cs="Arial" w:ascii="Arial" w:hAnsi="Arial"/>
                <w:b w:val="false"/>
                <w:bCs w:val="false"/>
                <w:color w:val="000000"/>
                <w:sz w:val="20"/>
                <w:szCs w:val="20"/>
              </w:rPr>
              <w:t>Unidade</w:t>
            </w:r>
          </w:p>
        </w:tc>
        <w:tc>
          <w:tcPr>
            <w:tcW w:w="1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Contedodetabela"/>
              <w:snapToGrid w:val="false"/>
              <w:jc w:val="center"/>
              <w:rPr>
                <w:rFonts w:ascii="Arial" w:hAnsi="Arial" w:cs="Arial"/>
                <w:b/>
                <w:b/>
                <w:bCs/>
                <w:color w:val="000000"/>
                <w:sz w:val="20"/>
                <w:szCs w:val="20"/>
              </w:rPr>
            </w:pPr>
            <w:r>
              <w:rPr>
                <w:rFonts w:cs="Arial" w:ascii="Arial" w:hAnsi="Arial"/>
                <w:b/>
                <w:bCs/>
                <w:color w:val="000000"/>
                <w:sz w:val="20"/>
                <w:szCs w:val="20"/>
              </w:rPr>
              <w:t>10</w:t>
            </w:r>
          </w:p>
        </w:tc>
      </w:tr>
    </w:tbl>
    <w:p>
      <w:pPr>
        <w:pStyle w:val="Normal"/>
        <w:spacing w:lineRule="auto" w:line="276" w:before="120" w:after="120"/>
        <w:ind w:left="425" w:right="0" w:hanging="0"/>
        <w:jc w:val="both"/>
        <w:rPr>
          <w:rFonts w:cs="Arial"/>
          <w:color w:val="000000"/>
          <w:szCs w:val="20"/>
        </w:rPr>
      </w:pPr>
      <w:r>
        <w:rPr>
          <w:rFonts w:cs="Arial"/>
          <w:color w:val="000000"/>
          <w:szCs w:val="20"/>
        </w:rPr>
      </w:r>
    </w:p>
    <w:p>
      <w:pPr>
        <w:pStyle w:val="PargrafodaLista"/>
        <w:numPr>
          <w:ilvl w:val="1"/>
          <w:numId w:val="8"/>
        </w:numPr>
        <w:spacing w:lineRule="auto" w:line="276" w:before="0" w:after="0"/>
        <w:ind w:left="425" w:right="0" w:hanging="0"/>
        <w:jc w:val="both"/>
        <w:rPr/>
      </w:pPr>
      <w:r>
        <w:rPr>
          <w:rStyle w:val="Fontepargpadro"/>
          <w:rFonts w:cs="Times New Roman" w:ascii="Arial" w:hAnsi="Arial"/>
          <w:color w:val="000000"/>
          <w:sz w:val="20"/>
          <w:szCs w:val="20"/>
        </w:rPr>
        <w:t xml:space="preserve">O contrato terá </w:t>
      </w:r>
      <w:r>
        <w:rPr>
          <w:rStyle w:val="Fontepargpadro"/>
          <w:rFonts w:cs="Arial" w:ascii="Arial" w:hAnsi="Arial"/>
          <w:color w:val="000000"/>
          <w:sz w:val="20"/>
          <w:szCs w:val="20"/>
        </w:rPr>
        <w:t>vigência</w:t>
      </w:r>
      <w:r>
        <w:rPr>
          <w:rStyle w:val="Fontepargpadro"/>
          <w:rFonts w:cs="Times New Roman" w:ascii="Arial" w:hAnsi="Arial"/>
          <w:color w:val="000000"/>
          <w:sz w:val="20"/>
          <w:szCs w:val="20"/>
        </w:rPr>
        <w:t xml:space="preserve"> pelo período de 06(seis) meses, </w:t>
      </w:r>
      <w:r>
        <w:rPr>
          <w:rStyle w:val="Fontepargpadro"/>
          <w:rFonts w:cs="Arial" w:ascii="Arial" w:hAnsi="Arial"/>
          <w:bCs/>
          <w:color w:val="000000"/>
          <w:sz w:val="20"/>
          <w:szCs w:val="20"/>
        </w:rPr>
        <w:t xml:space="preserve">prorrogável por períodos sucessivos, enquanto perdurar a necessidade de enfrentamento dos efeitos da situação de emergência de saúde pública de importância internacional, declarada por meio da Portaria </w:t>
      </w:r>
      <w:r>
        <w:rPr>
          <w:rStyle w:val="Fontepargpadro"/>
          <w:rFonts w:cs="Arial" w:ascii="Arial" w:hAnsi="Arial"/>
          <w:color w:val="000000"/>
          <w:sz w:val="20"/>
          <w:szCs w:val="20"/>
        </w:rPr>
        <w:t>nº 188, de 3 de fevereiro de 2020, do Sr. Ministro de Estado da Saúde.</w:t>
      </w:r>
    </w:p>
    <w:p>
      <w:pPr>
        <w:pStyle w:val="Nivel1"/>
        <w:numPr>
          <w:ilvl w:val="0"/>
          <w:numId w:val="8"/>
        </w:numPr>
        <w:rPr/>
      </w:pPr>
      <w:r>
        <w:rPr>
          <w:sz w:val="20"/>
          <w:szCs w:val="20"/>
        </w:rPr>
        <w:t xml:space="preserve">JUSTIFICATIVA </w:t>
      </w:r>
      <w:r>
        <w:rPr>
          <w:rStyle w:val="Fontepargpadro"/>
          <w:sz w:val="20"/>
          <w:szCs w:val="20"/>
          <w:highlight w:val="yellow"/>
        </w:rPr>
        <w:t>SIMPLIFICADA</w:t>
      </w:r>
      <w:r>
        <w:rPr>
          <w:sz w:val="20"/>
          <w:szCs w:val="20"/>
        </w:rPr>
        <w:t xml:space="preserve"> DA CONTRATAÇÃO</w:t>
      </w:r>
    </w:p>
    <w:p>
      <w:pPr>
        <w:pStyle w:val="Normal"/>
        <w:numPr>
          <w:ilvl w:val="1"/>
          <w:numId w:val="8"/>
        </w:numPr>
        <w:rPr>
          <w:rFonts w:ascii="Arial" w:hAnsi="Arial" w:cs="Arial"/>
          <w:sz w:val="20"/>
          <w:szCs w:val="20"/>
          <w:lang w:eastAsia="en-US"/>
        </w:rPr>
      </w:pPr>
      <w:r>
        <w:rPr>
          <w:rFonts w:cs="Arial" w:ascii="Arial" w:hAnsi="Arial"/>
          <w:sz w:val="20"/>
          <w:szCs w:val="20"/>
          <w:lang w:eastAsia="en-US"/>
        </w:rPr>
        <w:t xml:space="preserve"> </w:t>
      </w:r>
      <w:r>
        <w:rPr>
          <w:rFonts w:cs="Arial" w:ascii="Arial" w:hAnsi="Arial"/>
          <w:sz w:val="20"/>
          <w:szCs w:val="20"/>
          <w:lang w:eastAsia="en-US"/>
        </w:rPr>
        <w:t>A presente aquisição/contratação faz parte das medidas de proteção para o enfrentamento da emergência de saúde pública de importância internacional decorrente do coronavírus (COVID-19).</w:t>
      </w:r>
    </w:p>
    <w:p>
      <w:pPr>
        <w:pStyle w:val="Normal"/>
        <w:numPr>
          <w:ilvl w:val="1"/>
          <w:numId w:val="8"/>
        </w:numPr>
        <w:spacing w:before="240" w:after="0"/>
        <w:ind w:left="340" w:right="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Importante se faz ressaltar que a demanda não se encontra registrada no Plano Anual de Contratações - PAC, entretanto, a presente aquisição visa a atender demanda urgente, imprevisível em decorrência da declaração da Organização Mundial da Saúde (OMS) da pandemia do COVID-19, doença respiratória aguda causada pelo novo coronavírus (Sars-Cov-2), em virtude da rápida difusão do vírus por vários países.</w:t>
      </w:r>
    </w:p>
    <w:p>
      <w:pPr>
        <w:pStyle w:val="Normal"/>
        <w:numPr>
          <w:ilvl w:val="1"/>
          <w:numId w:val="8"/>
        </w:numPr>
        <w:spacing w:before="240" w:after="0"/>
        <w:ind w:left="0" w:right="0" w:hanging="0"/>
        <w:jc w:val="both"/>
        <w:rPr/>
      </w:pPr>
      <w:r>
        <w:rPr>
          <w:rStyle w:val="Fontepargpadro"/>
          <w:rFonts w:cs="Arial" w:ascii="Arial" w:hAnsi="Arial"/>
          <w:sz w:val="20"/>
          <w:szCs w:val="20"/>
        </w:rPr>
        <w:t xml:space="preserve"> </w:t>
      </w:r>
      <w:r>
        <w:rPr>
          <w:rStyle w:val="Fontepargpadro"/>
          <w:rFonts w:cs="Arial" w:ascii="Arial" w:hAnsi="Arial"/>
          <w:sz w:val="20"/>
          <w:szCs w:val="20"/>
        </w:rPr>
        <w:t>Acresce, ainda, que a presente contratação encontra-se amparada pelo disposto pela Lei Federal</w:t>
      </w:r>
      <w:r>
        <w:rPr>
          <w:rStyle w:val="Fontepargpadro"/>
          <w:rFonts w:cs="Arial" w:ascii="Arial" w:hAnsi="Arial"/>
          <w:color w:val="1155CC"/>
          <w:sz w:val="20"/>
          <w:szCs w:val="20"/>
        </w:rPr>
        <w:t xml:space="preserve"> </w:t>
      </w:r>
      <w:r>
        <w:rPr>
          <w:rStyle w:val="Fontepargpadro"/>
          <w:rFonts w:cs="Arial" w:ascii="Arial" w:hAnsi="Arial"/>
          <w:sz w:val="20"/>
          <w:szCs w:val="20"/>
        </w:rPr>
        <w:t>nº 13.979, de 6 de fevereiro de 2020, alterada pela Medida Provisória nº  926, de  20 de março de  2020, assim como no Decreto Legislativo (PDL) 88/2020, que declara o estado de calamidade pública por causa da pandemia causada pelo novo coronavírus.</w:t>
      </w:r>
    </w:p>
    <w:p>
      <w:pPr>
        <w:pStyle w:val="Normal"/>
        <w:numPr>
          <w:ilvl w:val="1"/>
          <w:numId w:val="8"/>
        </w:numPr>
        <w:spacing w:before="240" w:after="0"/>
        <w:ind w:left="0" w:right="0" w:hanging="0"/>
        <w:jc w:val="both"/>
        <w:rPr>
          <w:rFonts w:ascii="Arial" w:hAnsi="Arial" w:cs="Arial"/>
          <w:sz w:val="20"/>
          <w:szCs w:val="20"/>
        </w:rPr>
      </w:pPr>
      <w:r>
        <w:rPr>
          <w:rFonts w:cs="Arial" w:ascii="Arial" w:hAnsi="Arial"/>
          <w:sz w:val="20"/>
          <w:szCs w:val="20"/>
        </w:rPr>
        <w:t>A contratação ocorrerá por meio de dispensa de licitação, art. 4º, da Lei Federal nº 13.979/2020, em virtude da situação emergencial.</w:t>
      </w:r>
    </w:p>
    <w:p>
      <w:pPr>
        <w:pStyle w:val="Normal"/>
        <w:numPr>
          <w:ilvl w:val="1"/>
          <w:numId w:val="8"/>
        </w:numPr>
        <w:spacing w:before="240" w:after="0"/>
        <w:ind w:left="142" w:right="0" w:hanging="0"/>
        <w:jc w:val="both"/>
        <w:rPr>
          <w:rFonts w:ascii="Arial" w:hAnsi="Arial" w:cs="Arial"/>
          <w:sz w:val="20"/>
          <w:szCs w:val="20"/>
        </w:rPr>
      </w:pPr>
      <w:r>
        <w:rPr>
          <w:rFonts w:cs="Arial" w:ascii="Arial" w:hAnsi="Arial"/>
          <w:sz w:val="20"/>
          <w:szCs w:val="20"/>
        </w:rPr>
        <w:t>Em relação aos quantitativos pretendidos na contratação, não obstante o disposto no inciso IV, art. 4º-B, da citada Lei Federal, no qual enfatiza que a dispensa está condicionada ao limite da parcela necessária ao atendimento da situação de emergência,  justifica-se o quantitativo registrado nos autos com base no projeto anexo que prevê a confecção de1500 máscaras, 12 mil litros de álcool em gel, 5000 mil mudas de plantas medicinais,  além de produtos sanitizantes, sabão, sabonete, xarope e balas, que atenderão a comunidade, bem como a profissionais que encontram-se na linha de frente no combate ao COVID-19 e Secretarias de Saúde, nos seis municípios com unidades do IF Sertão.</w:t>
      </w:r>
    </w:p>
    <w:p>
      <w:pPr>
        <w:pStyle w:val="Normal"/>
        <w:numPr>
          <w:ilvl w:val="1"/>
          <w:numId w:val="8"/>
        </w:numPr>
        <w:spacing w:before="240" w:after="0"/>
        <w:ind w:left="280" w:right="0" w:hanging="0"/>
        <w:jc w:val="both"/>
        <w:rPr/>
      </w:pPr>
      <w:r>
        <w:rPr>
          <w:rStyle w:val="Fontepargpadro"/>
          <w:rFonts w:cs="Arial" w:ascii="Arial" w:hAnsi="Arial"/>
          <w:sz w:val="20"/>
          <w:szCs w:val="20"/>
        </w:rPr>
        <w:t xml:space="preserve"> </w:t>
      </w:r>
      <w:r>
        <w:rPr>
          <w:rStyle w:val="Fontepargpadro"/>
          <w:rFonts w:cs="Arial" w:ascii="Arial" w:hAnsi="Arial"/>
          <w:sz w:val="20"/>
          <w:szCs w:val="20"/>
        </w:rPr>
        <w:t>Não será exigida a elaboração de estudos técnicos preliminares, conforme prediz o art. 4º-C, Lei Federal</w:t>
      </w:r>
      <w:r>
        <w:rPr>
          <w:rStyle w:val="LinkdaInternet"/>
          <w:rFonts w:cs="Arial" w:ascii="Arial" w:hAnsi="Arial"/>
          <w:sz w:val="20"/>
          <w:szCs w:val="20"/>
        </w:rPr>
        <w:t xml:space="preserve"> nº 13.979</w:t>
      </w:r>
      <w:r>
        <w:rPr>
          <w:rStyle w:val="Fontepargpadro"/>
          <w:rFonts w:cs="Arial" w:ascii="Arial" w:hAnsi="Arial"/>
          <w:sz w:val="20"/>
          <w:szCs w:val="20"/>
        </w:rPr>
        <w:t>/2020.</w:t>
      </w:r>
    </w:p>
    <w:p>
      <w:pPr>
        <w:pStyle w:val="Normal"/>
        <w:rPr>
          <w:rFonts w:ascii="Arial" w:hAnsi="Arial"/>
          <w:sz w:val="20"/>
          <w:szCs w:val="20"/>
          <w:lang w:eastAsia="en-US"/>
        </w:rPr>
      </w:pPr>
      <w:r>
        <w:rPr>
          <w:rFonts w:ascii="Arial" w:hAnsi="Arial"/>
          <w:sz w:val="20"/>
          <w:szCs w:val="20"/>
          <w:lang w:eastAsia="en-US"/>
        </w:rPr>
      </w:r>
    </w:p>
    <w:p>
      <w:pPr>
        <w:pStyle w:val="Normal"/>
        <w:spacing w:lineRule="auto" w:line="360"/>
        <w:ind w:left="283" w:right="0" w:hanging="0"/>
        <w:jc w:val="both"/>
        <w:rPr/>
      </w:pPr>
      <w:r>
        <w:rPr>
          <w:rStyle w:val="Fontepargpadro"/>
          <w:rFonts w:cs="Arial" w:ascii="Arial" w:hAnsi="Arial"/>
          <w:b/>
          <w:color w:val="000000"/>
          <w:sz w:val="20"/>
          <w:szCs w:val="20"/>
          <w:lang w:eastAsia="en-US"/>
        </w:rPr>
        <w:t>2.7  Justificativas para o agrupamento de itens:</w:t>
      </w:r>
      <w:r>
        <w:rPr>
          <w:rStyle w:val="Fontepargpadro"/>
          <w:rFonts w:cs="Arial" w:ascii="Arial" w:hAnsi="Arial"/>
          <w:color w:val="000000"/>
          <w:sz w:val="20"/>
          <w:szCs w:val="20"/>
          <w:lang w:eastAsia="en-US"/>
        </w:rPr>
        <w:t xml:space="preserve"> Trata-se de aquisição de insumos em geral para projeto de combate ao COVID-19 para atender as demandas do IF Sertão Pernambucano. Optou-se por realizar licitação em grupo pelo fato de existirem itens debaixo valor no mercado, posto que no caso dessa licitação realizada por item existiria o risco de empresas licitantes vencerem um ou alguns itens de baixo valor não trazendo nenhuma vantagem para sua comercialização. Outrossim, de acordo com o retrospecto de licitações anteriores a administração deixou de adquirir itens importantes para as atividades tendo em vista o não envio por parte das empresas alegando o custo de frete maior que o valor do material pedido. Além disso, prezando pela economicidade processual dando uma celeridade em todos os aspectos da contratação, desde a fase interna da licitação quanto na fase externa e suas nuances após o certame. Além disso, o agrupamento da forma que se encontra em nada impede a livre concorrência entre os licitantes, posto que os itens agrupados que o integrarão, guardam compatibilidade entre si, observando-se, inclusive as regras de mercado para a comercialização dos produtos, de modo a manter a competitividade necessária à disputa. Ante o exposto, é lícito os agrupamentos em lotes/grupos de itens a serem adquiridos por meio de pregão, desde que possuam mesma natureza e que guardem relação entre si. No entanto, a regra é que as licitações sejam por item, a fim de preservar a competitividade e fomentar a livre iniciativa, previstos, respectivamente, no art. 3º da Lei nº 8.666/93 e art. 1º, IV da Constituição, ocorre, porém, que não visualizamos qualquer prejuízo na competitividade, posto que são itens encontráveis facilmente no mercado e sobre os quais procedeu-se a divisão de lotes/grupos pertinentes classes de itens. Destarte, o agrupamento não compromete a competitividade.</w:t>
      </w:r>
    </w:p>
    <w:p>
      <w:pPr>
        <w:pStyle w:val="Nivel1"/>
        <w:numPr>
          <w:ilvl w:val="0"/>
          <w:numId w:val="8"/>
        </w:numPr>
        <w:rPr>
          <w:rFonts w:ascii="Arial" w:hAnsi="Arial"/>
          <w:sz w:val="20"/>
          <w:szCs w:val="20"/>
        </w:rPr>
      </w:pPr>
      <w:r>
        <w:rPr>
          <w:sz w:val="20"/>
          <w:szCs w:val="20"/>
        </w:rPr>
        <w:t>REQUISITOS DA CONTRATAÇÃO</w:t>
      </w:r>
    </w:p>
    <w:p>
      <w:pPr>
        <w:pStyle w:val="PargrafodaLista"/>
        <w:numPr>
          <w:ilvl w:val="1"/>
          <w:numId w:val="4"/>
        </w:numPr>
        <w:rPr>
          <w:rFonts w:ascii="Arial" w:hAnsi="Arial"/>
          <w:sz w:val="20"/>
          <w:szCs w:val="20"/>
        </w:rPr>
      </w:pPr>
      <w:r>
        <w:rPr>
          <w:rFonts w:ascii="Arial" w:hAnsi="Arial"/>
          <w:sz w:val="20"/>
          <w:szCs w:val="20"/>
        </w:rPr>
        <w:t xml:space="preserve"> </w:t>
      </w:r>
      <w:r>
        <w:rPr>
          <w:rFonts w:ascii="Arial" w:hAnsi="Arial"/>
          <w:sz w:val="20"/>
          <w:szCs w:val="20"/>
        </w:rPr>
        <w:t>A descrição da solução como um todo, abrange a aquisição de insumos(materiais e equipamentos)</w:t>
      </w:r>
    </w:p>
    <w:p>
      <w:pPr>
        <w:pStyle w:val="PargrafodaLista"/>
        <w:numPr>
          <w:ilvl w:val="0"/>
          <w:numId w:val="0"/>
        </w:numPr>
        <w:ind w:left="1647" w:right="0" w:hanging="0"/>
        <w:rPr>
          <w:rFonts w:ascii="Arial" w:hAnsi="Arial"/>
          <w:sz w:val="20"/>
          <w:szCs w:val="20"/>
        </w:rPr>
      </w:pPr>
      <w:r>
        <w:rPr>
          <w:rFonts w:ascii="Arial" w:hAnsi="Arial"/>
          <w:sz w:val="20"/>
          <w:szCs w:val="20"/>
        </w:rPr>
      </w:r>
    </w:p>
    <w:p>
      <w:pPr>
        <w:pStyle w:val="PargrafodaLista"/>
        <w:numPr>
          <w:ilvl w:val="2"/>
          <w:numId w:val="4"/>
        </w:numPr>
        <w:rPr>
          <w:rFonts w:ascii="Arial" w:hAnsi="Arial" w:cs="Arial"/>
          <w:sz w:val="20"/>
          <w:szCs w:val="20"/>
        </w:rPr>
      </w:pPr>
      <w:r>
        <w:rPr>
          <w:rFonts w:cs="Arial" w:ascii="Arial" w:hAnsi="Arial"/>
          <w:sz w:val="20"/>
          <w:szCs w:val="20"/>
        </w:rPr>
        <w:t>Os requisitos da contratação abrangem o seguinte:</w:t>
      </w:r>
    </w:p>
    <w:p>
      <w:pPr>
        <w:pStyle w:val="PargrafodaLista"/>
        <w:rPr>
          <w:rFonts w:ascii="Arial" w:hAnsi="Arial" w:cs="Arial"/>
          <w:sz w:val="20"/>
          <w:szCs w:val="20"/>
        </w:rPr>
      </w:pPr>
      <w:r>
        <w:rPr>
          <w:rFonts w:cs="Arial" w:ascii="Arial" w:hAnsi="Arial"/>
          <w:sz w:val="20"/>
          <w:szCs w:val="20"/>
        </w:rPr>
      </w:r>
    </w:p>
    <w:p>
      <w:pPr>
        <w:pStyle w:val="PargrafodaLista"/>
        <w:ind w:left="737" w:right="0" w:hanging="0"/>
        <w:rPr>
          <w:rFonts w:ascii="Arial" w:hAnsi="Arial" w:cs="Arial"/>
          <w:color w:val="000000"/>
          <w:sz w:val="20"/>
          <w:szCs w:val="20"/>
        </w:rPr>
      </w:pPr>
      <w:r>
        <w:rPr>
          <w:rFonts w:cs="Arial" w:ascii="Arial" w:hAnsi="Arial"/>
          <w:color w:val="000000"/>
          <w:sz w:val="20"/>
          <w:szCs w:val="20"/>
        </w:rPr>
        <w:t>3.1.1.1 A descrição da solução como um todo, abrange a aquisição de insumos. Os requisitos da contratação abrangem o seguinte:</w:t>
      </w:r>
    </w:p>
    <w:p>
      <w:pPr>
        <w:pStyle w:val="Normal"/>
        <w:spacing w:before="0" w:after="120"/>
        <w:ind w:left="1922" w:right="0" w:hanging="504"/>
        <w:jc w:val="both"/>
        <w:rPr/>
      </w:pPr>
      <w:r>
        <w:rPr>
          <w:rStyle w:val="Fontepargpadro"/>
          <w:rFonts w:cs="Arial" w:ascii="Arial" w:hAnsi="Arial"/>
          <w:sz w:val="20"/>
          <w:szCs w:val="20"/>
        </w:rPr>
        <w:t>3.1.1.1.1 Esta demanda tem como objetivo parte das medidas de proteção para o enfrentamento da emergência de saúde pública de importância internacional decorrente do coronavírus (COVID-19)</w:t>
      </w:r>
    </w:p>
    <w:p>
      <w:pPr>
        <w:pStyle w:val="Normal"/>
        <w:spacing w:before="0" w:after="120"/>
        <w:ind w:left="1922" w:right="0" w:hanging="504"/>
        <w:jc w:val="both"/>
        <w:rPr/>
      </w:pPr>
      <w:r>
        <w:rPr>
          <w:rStyle w:val="Fontepargpadro"/>
          <w:rFonts w:cs="Arial" w:ascii="Arial" w:hAnsi="Arial"/>
          <w:sz w:val="20"/>
          <w:szCs w:val="20"/>
        </w:rPr>
        <w:t>3.1.1.1.2 Sustentabilidade: As boas práticas de otimização de recursos, redução de desperdícios e redução dos índices de poluição pautam-se em alguns pressupostos e exigências que deverão ser observados pela Contratada, tais como:</w:t>
      </w:r>
    </w:p>
    <w:p>
      <w:pPr>
        <w:pStyle w:val="PargrafodaLista"/>
        <w:spacing w:before="0" w:after="120"/>
        <w:ind w:left="2640" w:right="0" w:hanging="720"/>
        <w:jc w:val="both"/>
        <w:rPr/>
      </w:pPr>
      <w:r>
        <w:rPr>
          <w:rStyle w:val="Fontepargpadro"/>
          <w:rFonts w:cs="Arial" w:ascii="Arial" w:hAnsi="Arial"/>
          <w:sz w:val="20"/>
          <w:szCs w:val="20"/>
        </w:rPr>
        <w:t>3.1.1.1.3 Apresentar Declaração de Atendimento aos Critérios de Sustentabilidade Ambiental de acordo com o modelo</w:t>
      </w:r>
      <w:r>
        <w:rPr>
          <w:rStyle w:val="Fontepargpadro"/>
          <w:rFonts w:cs="Arial" w:ascii="Arial" w:hAnsi="Arial"/>
          <w:b/>
          <w:bCs/>
          <w:sz w:val="20"/>
          <w:szCs w:val="20"/>
        </w:rPr>
        <w:t xml:space="preserve"> Anexo I do Termo de Referência</w:t>
      </w:r>
      <w:r>
        <w:rPr>
          <w:rStyle w:val="Fontepargpadro"/>
          <w:rFonts w:cs="Arial" w:ascii="Arial" w:hAnsi="Arial"/>
          <w:sz w:val="20"/>
          <w:szCs w:val="20"/>
        </w:rPr>
        <w:t xml:space="preserve"> e conforme a Instrução Normativa n° 01/2010 da SLTI/MPOG.</w:t>
      </w:r>
    </w:p>
    <w:p>
      <w:pPr>
        <w:pStyle w:val="Normal"/>
        <w:numPr>
          <w:ilvl w:val="1"/>
          <w:numId w:val="4"/>
        </w:numPr>
        <w:spacing w:before="0" w:after="0"/>
        <w:ind w:left="716" w:right="0" w:hanging="432"/>
        <w:jc w:val="both"/>
        <w:rPr>
          <w:rFonts w:ascii="Arial" w:hAnsi="Arial" w:cs="Arial"/>
          <w:sz w:val="20"/>
          <w:szCs w:val="20"/>
        </w:rPr>
      </w:pPr>
      <w:r>
        <w:rPr>
          <w:rFonts w:cs="Arial" w:ascii="Arial" w:hAnsi="Arial"/>
          <w:sz w:val="20"/>
          <w:szCs w:val="20"/>
        </w:rPr>
        <w:t>Declaração do contratante de que tem pleno conhecimento das condições necessárias para a entrega dos bens.</w:t>
      </w:r>
    </w:p>
    <w:p>
      <w:pPr>
        <w:pStyle w:val="Nivel1"/>
        <w:numPr>
          <w:ilvl w:val="0"/>
          <w:numId w:val="0"/>
        </w:numPr>
        <w:ind w:left="360" w:hanging="0"/>
        <w:rPr>
          <w:rFonts w:ascii="Arial" w:hAnsi="Arial"/>
          <w:sz w:val="20"/>
          <w:szCs w:val="20"/>
        </w:rPr>
      </w:pPr>
      <w:r>
        <w:rPr>
          <w:sz w:val="20"/>
          <w:szCs w:val="20"/>
        </w:rPr>
        <w:t>4. CLASSIFICAÇÃO DOS BENS COMUNS</w:t>
      </w:r>
    </w:p>
    <w:p>
      <w:pPr>
        <w:pStyle w:val="Normal"/>
        <w:numPr>
          <w:ilvl w:val="0"/>
          <w:numId w:val="0"/>
        </w:numPr>
        <w:spacing w:lineRule="auto" w:line="276" w:before="120" w:after="120"/>
        <w:ind w:left="1424" w:right="0" w:hanging="0"/>
        <w:jc w:val="both"/>
        <w:rPr/>
      </w:pPr>
      <w:r>
        <w:rPr>
          <w:rStyle w:val="Fontepargpadro"/>
          <w:rFonts w:cs="Arial" w:ascii="Arial" w:hAnsi="Arial"/>
          <w:color w:val="000000"/>
          <w:sz w:val="20"/>
          <w:szCs w:val="20"/>
        </w:rPr>
        <w:t xml:space="preserve">4.1 </w:t>
      </w:r>
      <w:bookmarkStart w:id="5" w:name="_Hlk35968863"/>
      <w:r>
        <w:rPr>
          <w:rStyle w:val="Fontepargpadro"/>
          <w:rFonts w:cs="Arial" w:ascii="Arial" w:hAnsi="Arial"/>
          <w:color w:val="000000"/>
          <w:sz w:val="20"/>
          <w:szCs w:val="20"/>
        </w:rPr>
        <w:t>Trata-se de bem comum a ser contratado mediante licitação, na modalidade pregão, em sua forma eletrônica, com fulcro no art. 4º-G da Lei nº 13.979/20. uma vez que os seus padrões de desempenho e qualidade podem ser objetivamente definidos pelo edital, por meio de especificações usuais no mercado.</w:t>
      </w:r>
    </w:p>
    <w:p>
      <w:pPr>
        <w:pStyle w:val="Normal"/>
        <w:numPr>
          <w:ilvl w:val="0"/>
          <w:numId w:val="0"/>
        </w:numPr>
        <w:spacing w:lineRule="auto" w:line="276" w:before="120" w:after="120"/>
        <w:ind w:left="1424" w:right="0" w:hanging="0"/>
        <w:jc w:val="both"/>
        <w:rPr/>
      </w:pPr>
      <w:r>
        <w:rPr>
          <w:rStyle w:val="Fontepargpadro"/>
          <w:rFonts w:cs="Arial" w:ascii="Arial" w:hAnsi="Arial"/>
          <w:color w:val="000000"/>
          <w:sz w:val="20"/>
          <w:szCs w:val="20"/>
        </w:rPr>
        <w:t xml:space="preserve">4.2 Por força do artigo 4º-C da Lei  </w:t>
      </w:r>
      <w:bookmarkEnd w:id="5"/>
      <w:r>
        <w:rPr>
          <w:rStyle w:val="Fontepargpadro"/>
          <w:rFonts w:cs="Arial" w:ascii="Arial" w:hAnsi="Arial"/>
          <w:color w:val="000000"/>
          <w:sz w:val="20"/>
          <w:szCs w:val="20"/>
          <w:highlight w:val="yellow"/>
        </w:rPr>
        <w:t>13.979/2020 fica dispensada a elaboração de Estudos Preliminares para o fornecimento de bens comuns.</w:t>
      </w:r>
    </w:p>
    <w:p>
      <w:pPr>
        <w:pStyle w:val="Nivel1"/>
        <w:numPr>
          <w:ilvl w:val="0"/>
          <w:numId w:val="0"/>
        </w:numPr>
        <w:spacing w:before="195" w:after="0"/>
        <w:ind w:left="360" w:hanging="0"/>
        <w:rPr>
          <w:rFonts w:ascii="Arial" w:hAnsi="Arial"/>
          <w:sz w:val="20"/>
          <w:szCs w:val="20"/>
        </w:rPr>
      </w:pPr>
      <w:r>
        <w:rPr>
          <w:sz w:val="20"/>
          <w:szCs w:val="20"/>
        </w:rPr>
        <w:t>5. ENTREGA E CRITÉRIOS DE ACEITAÇÃO DO OBJETO</w:t>
      </w:r>
    </w:p>
    <w:p>
      <w:pPr>
        <w:pStyle w:val="Nivel1"/>
        <w:numPr>
          <w:ilvl w:val="0"/>
          <w:numId w:val="0"/>
        </w:numPr>
        <w:spacing w:before="138" w:after="0"/>
        <w:ind w:left="360" w:hanging="0"/>
        <w:rPr/>
      </w:pPr>
      <w:r>
        <w:rPr>
          <w:rStyle w:val="Fontepargpadro"/>
          <w:b w:val="false"/>
          <w:bCs/>
          <w:iCs/>
          <w:sz w:val="20"/>
          <w:szCs w:val="20"/>
        </w:rPr>
        <w:t xml:space="preserve">5.1 O prazo de entrega dos bens </w:t>
      </w:r>
      <w:r>
        <w:rPr>
          <w:rStyle w:val="Fontepargpadro"/>
          <w:b w:val="false"/>
          <w:bCs/>
          <w:sz w:val="20"/>
          <w:szCs w:val="20"/>
        </w:rPr>
        <w:t>é de 15 dias, contados do recebimento da nota de empenho, em remessa única ou parcelada a depender do item</w:t>
      </w:r>
      <w:r>
        <w:rPr>
          <w:rStyle w:val="Fontepargpadro"/>
          <w:b w:val="false"/>
          <w:bCs/>
          <w:iCs/>
          <w:sz w:val="20"/>
          <w:szCs w:val="20"/>
        </w:rPr>
        <w:t xml:space="preserve">, no seguinte endereço local de entrega </w:t>
      </w:r>
      <w:r>
        <w:rPr>
          <w:rStyle w:val="Fontepargpadro"/>
          <w:bCs/>
          <w:iCs/>
          <w:sz w:val="20"/>
          <w:szCs w:val="20"/>
        </w:rPr>
        <w:t>Rua Aristarco Lopes, nº 240, Centro, Petrolina-PE.</w:t>
      </w:r>
    </w:p>
    <w:p>
      <w:pPr>
        <w:pStyle w:val="Nivel1"/>
        <w:numPr>
          <w:ilvl w:val="0"/>
          <w:numId w:val="0"/>
        </w:numPr>
        <w:spacing w:before="138" w:after="0"/>
        <w:ind w:left="360" w:hanging="0"/>
        <w:rPr/>
      </w:pPr>
      <w:r>
        <w:rPr>
          <w:rStyle w:val="Fontepargpadro"/>
          <w:b w:val="false"/>
          <w:bCs/>
          <w:sz w:val="20"/>
          <w:szCs w:val="20"/>
        </w:rPr>
        <w:t xml:space="preserve">5.2 Os bens serão recebidos provisoriamente no prazo de </w:t>
      </w:r>
      <w:r>
        <w:rPr>
          <w:rStyle w:val="Fontepargpadro"/>
          <w:bCs/>
          <w:sz w:val="20"/>
          <w:szCs w:val="20"/>
        </w:rPr>
        <w:t>dois (2) dias</w:t>
      </w:r>
      <w:r>
        <w:rPr>
          <w:rStyle w:val="Fontepargpadro"/>
          <w:b w:val="false"/>
          <w:bCs/>
          <w:sz w:val="20"/>
          <w:szCs w:val="20"/>
        </w:rPr>
        <w:t>, pelo(a) responsável pelo acompanhamento e fiscalização do contrato, para efeito de posterior verificação de sua conformidade com as especificações constantes neste Projeto Básico e na proposta.</w:t>
      </w:r>
    </w:p>
    <w:p>
      <w:pPr>
        <w:pStyle w:val="Nivel1"/>
        <w:numPr>
          <w:ilvl w:val="0"/>
          <w:numId w:val="0"/>
        </w:numPr>
        <w:spacing w:before="120" w:after="0"/>
        <w:ind w:left="1424" w:right="0" w:hanging="0"/>
        <w:rPr/>
      </w:pPr>
      <w:r>
        <w:rPr>
          <w:rStyle w:val="Fontepargpadro"/>
          <w:b w:val="false"/>
          <w:bCs/>
          <w:sz w:val="20"/>
          <w:szCs w:val="20"/>
        </w:rPr>
        <w:t xml:space="preserve">5.3 Os bens poderão ser rejeitados, no todo ou em parte, quando em desacordo com as especificações constantes neste Projeto Básico e na proposta, devendo ser substituídos no prazo de </w:t>
      </w:r>
      <w:r>
        <w:rPr>
          <w:rStyle w:val="Fontepargpadro"/>
          <w:bCs/>
          <w:sz w:val="20"/>
          <w:szCs w:val="20"/>
        </w:rPr>
        <w:t>sete (7) dias</w:t>
      </w:r>
      <w:r>
        <w:rPr>
          <w:rStyle w:val="Fontepargpadro"/>
          <w:b w:val="false"/>
          <w:bCs/>
          <w:sz w:val="20"/>
          <w:szCs w:val="20"/>
        </w:rPr>
        <w:t>, a contar da notificação da contratada, às suas custas, sem prejuízo da aplicação das penalidades.</w:t>
      </w:r>
    </w:p>
    <w:p>
      <w:pPr>
        <w:pStyle w:val="Nivel1"/>
        <w:numPr>
          <w:ilvl w:val="0"/>
          <w:numId w:val="0"/>
        </w:numPr>
        <w:spacing w:before="120" w:after="0"/>
        <w:ind w:left="1424" w:right="0" w:hanging="0"/>
        <w:rPr/>
      </w:pPr>
      <w:r>
        <w:rPr>
          <w:rStyle w:val="Fontepargpadro"/>
          <w:b w:val="false"/>
          <w:bCs/>
          <w:sz w:val="20"/>
          <w:szCs w:val="20"/>
        </w:rPr>
        <w:t>5.4 Os bens serão recebidos definitivamente no prazo de sete (7) dias, contados do recebimento provisório, após a verificação da qualidade e quantidade do material e consequente aceitação mediante termo circunstanciado.</w:t>
      </w:r>
    </w:p>
    <w:p>
      <w:pPr>
        <w:pStyle w:val="Normal"/>
        <w:numPr>
          <w:ilvl w:val="0"/>
          <w:numId w:val="0"/>
        </w:numPr>
        <w:spacing w:lineRule="auto" w:line="276" w:before="120" w:after="120"/>
        <w:ind w:left="2772" w:right="0" w:hanging="0"/>
        <w:jc w:val="both"/>
        <w:rPr>
          <w:rFonts w:ascii="Arial" w:hAnsi="Arial" w:cs="Arial"/>
          <w:color w:val="000000"/>
          <w:sz w:val="20"/>
          <w:szCs w:val="20"/>
          <w:lang w:eastAsia="en-US"/>
        </w:rPr>
      </w:pPr>
      <w:r>
        <w:rPr>
          <w:rFonts w:cs="Arial" w:ascii="Arial" w:hAnsi="Arial"/>
          <w:color w:val="000000"/>
          <w:sz w:val="20"/>
          <w:szCs w:val="20"/>
          <w:lang w:eastAsia="en-US"/>
        </w:rPr>
        <w:t>5.4.1 Na hipótese de a verificação a que se refere o subitem anterior não ser procedida dentro do prazo fixado, reputar-se-á como realizada, consumando-se o recebimento definitivo no dia do esgotamento do prazo.</w:t>
      </w:r>
    </w:p>
    <w:p>
      <w:pPr>
        <w:pStyle w:val="Normal"/>
        <w:numPr>
          <w:ilvl w:val="0"/>
          <w:numId w:val="0"/>
        </w:numPr>
        <w:spacing w:lineRule="auto" w:line="276" w:before="120" w:after="120"/>
        <w:ind w:left="1424" w:right="0" w:hanging="0"/>
        <w:jc w:val="both"/>
        <w:rPr>
          <w:rFonts w:ascii="Arial" w:hAnsi="Arial" w:cs="Arial"/>
          <w:color w:val="000000"/>
          <w:sz w:val="20"/>
          <w:szCs w:val="20"/>
          <w:lang w:eastAsia="en-US"/>
        </w:rPr>
      </w:pPr>
      <w:r>
        <w:rPr>
          <w:rFonts w:cs="Arial" w:ascii="Arial" w:hAnsi="Arial"/>
          <w:color w:val="000000"/>
          <w:sz w:val="20"/>
          <w:szCs w:val="20"/>
          <w:lang w:eastAsia="en-US"/>
        </w:rPr>
        <w:t>5.5 O recebimento provisório ou definitivo do objeto não exclui a responsabilidade da contratada pelos prejuízos resultantes da incorreta execução do contrato.</w:t>
      </w:r>
    </w:p>
    <w:p>
      <w:pPr>
        <w:pStyle w:val="Nivel1"/>
        <w:numPr>
          <w:ilvl w:val="0"/>
          <w:numId w:val="0"/>
        </w:numPr>
        <w:spacing w:before="252" w:after="0"/>
        <w:ind w:left="360" w:hanging="0"/>
        <w:rPr>
          <w:rFonts w:ascii="Arial" w:hAnsi="Arial"/>
          <w:sz w:val="20"/>
          <w:szCs w:val="20"/>
          <w:lang w:eastAsia="en-US"/>
        </w:rPr>
      </w:pPr>
      <w:r>
        <w:rPr>
          <w:sz w:val="20"/>
          <w:szCs w:val="20"/>
          <w:lang w:eastAsia="en-US"/>
        </w:rPr>
        <w:t>6. OBRIGAÇÕES DA CONTRATANTE</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6.1 São obrigações da Contratante:</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6.1.1 receber o objeto no prazo e condições estabelecidas no Edital e seus anexos;</w:t>
      </w:r>
    </w:p>
    <w:p>
      <w:pPr>
        <w:pStyle w:val="Normal"/>
        <w:numPr>
          <w:ilvl w:val="0"/>
          <w:numId w:val="0"/>
        </w:numPr>
        <w:spacing w:lineRule="auto" w:line="276" w:before="120" w:after="120"/>
        <w:ind w:left="2772" w:right="0" w:hanging="0"/>
        <w:jc w:val="both"/>
        <w:rPr>
          <w:rFonts w:ascii="Arial" w:hAnsi="Arial" w:cs="Arial"/>
          <w:sz w:val="20"/>
          <w:szCs w:val="20"/>
          <w:lang w:eastAsia="en-US"/>
        </w:rPr>
      </w:pPr>
      <w:r>
        <w:rPr>
          <w:rFonts w:cs="Arial" w:ascii="Arial" w:hAnsi="Arial"/>
          <w:sz w:val="20"/>
          <w:szCs w:val="20"/>
          <w:lang w:eastAsia="en-US"/>
        </w:rPr>
        <w:t>6.1.2 verificar minuciosamente, no prazo fixado, a conformidade dos bens recebidos provisoriamente com as especificações constantes do Edital e da proposta, para fins de aceitação e recebimento definitivo;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6.1.3 comunicar à Contratada, por escrito, sobre imperfeições, falhas ou irregularidades verificadas no objeto fornecido, para que seja substituído, reparado ou corrigido;</w:t>
      </w:r>
    </w:p>
    <w:p>
      <w:pPr>
        <w:pStyle w:val="Normal"/>
        <w:numPr>
          <w:ilvl w:val="0"/>
          <w:numId w:val="0"/>
        </w:numPr>
        <w:spacing w:lineRule="auto" w:line="276" w:before="120" w:after="120"/>
        <w:ind w:left="2772" w:right="0" w:hanging="0"/>
        <w:jc w:val="both"/>
        <w:rPr>
          <w:rFonts w:ascii="Arial" w:hAnsi="Arial" w:cs="Arial"/>
          <w:sz w:val="20"/>
          <w:szCs w:val="20"/>
          <w:lang w:eastAsia="en-US"/>
        </w:rPr>
      </w:pPr>
      <w:r>
        <w:rPr>
          <w:rFonts w:cs="Arial" w:ascii="Arial" w:hAnsi="Arial"/>
          <w:sz w:val="20"/>
          <w:szCs w:val="20"/>
          <w:lang w:eastAsia="en-US"/>
        </w:rPr>
        <w:t>6.1.4 acompanhar e fiscalizar o cumprimento das obrigações da Contratada, através de comissão/servidor especialmente designado;</w:t>
      </w:r>
    </w:p>
    <w:p>
      <w:pPr>
        <w:pStyle w:val="Normal"/>
        <w:numPr>
          <w:ilvl w:val="0"/>
          <w:numId w:val="0"/>
        </w:numPr>
        <w:spacing w:lineRule="auto" w:line="276" w:before="120" w:after="120"/>
        <w:ind w:left="2772" w:right="0" w:hanging="0"/>
        <w:jc w:val="both"/>
        <w:rPr/>
      </w:pPr>
      <w:r>
        <w:rPr>
          <w:rStyle w:val="Fontepargpadro"/>
          <w:rFonts w:cs="Arial" w:ascii="Arial" w:hAnsi="Arial"/>
          <w:sz w:val="20"/>
          <w:szCs w:val="20"/>
        </w:rPr>
        <w:t>6.1.5 efetuar o pagamento à Contratada</w:t>
      </w:r>
      <w:r>
        <w:rPr>
          <w:rStyle w:val="Fontepargpadro"/>
          <w:rFonts w:cs="Arial" w:ascii="Arial" w:hAnsi="Arial"/>
          <w:b/>
          <w:sz w:val="20"/>
          <w:szCs w:val="20"/>
        </w:rPr>
        <w:t xml:space="preserve"> </w:t>
      </w:r>
      <w:r>
        <w:rPr>
          <w:rStyle w:val="Fontepargpadro"/>
          <w:rFonts w:cs="Arial" w:ascii="Arial" w:hAnsi="Arial"/>
          <w:sz w:val="20"/>
          <w:szCs w:val="20"/>
        </w:rPr>
        <w:t>no valor correspondente ao fornecimento do objeto, no prazo e forma estabelecidos no Edital e seus anexos;</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0"/>
        </w:numPr>
        <w:spacing w:before="366" w:after="6"/>
        <w:ind w:left="360" w:hanging="0"/>
        <w:rPr>
          <w:rFonts w:ascii="Arial" w:hAnsi="Arial"/>
          <w:sz w:val="20"/>
          <w:szCs w:val="20"/>
        </w:rPr>
      </w:pPr>
      <w:r>
        <w:rPr>
          <w:sz w:val="20"/>
          <w:szCs w:val="20"/>
        </w:rPr>
        <w:t>7. OBRIGAÇÕES DA CONTRATADA</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7.1 A Contratada deve cumprir todas as obrigações constantes no Edital, seus anexos e sua proposta, assumindo como exclusivamente seus os riscos e as despesas decorrentes da boa e perfeita execução do objeto e, ainda:</w:t>
      </w:r>
    </w:p>
    <w:p>
      <w:pPr>
        <w:pStyle w:val="Normal"/>
        <w:numPr>
          <w:ilvl w:val="0"/>
          <w:numId w:val="0"/>
        </w:numPr>
        <w:spacing w:lineRule="auto" w:line="276" w:before="120" w:after="120"/>
        <w:ind w:left="2772" w:right="0" w:hanging="0"/>
        <w:jc w:val="both"/>
        <w:rPr>
          <w:rFonts w:ascii="Arial" w:hAnsi="Arial" w:cs="Arial"/>
          <w:color w:val="000000"/>
          <w:sz w:val="20"/>
          <w:szCs w:val="20"/>
        </w:rPr>
      </w:pPr>
      <w:r>
        <w:rPr>
          <w:rFonts w:cs="Arial" w:ascii="Arial" w:hAnsi="Arial"/>
          <w:color w:val="000000"/>
          <w:sz w:val="20"/>
          <w:szCs w:val="20"/>
        </w:rPr>
        <w:t>7.1.1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7.1.2 responsabilizar-se pelos vícios e danos decorrentes do objeto, de acordo com os artigos 12, 13 e 17 a 27, do Código de Defesa do Consumidor (Lei nº 8.078, de 1990);</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7.1.3 substituir, reparar ou corrigir, às suas expensas, no prazo fixado neste Termo de Referência, o objeto com avarias ou defeitos;</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7.1.4 comunicar à Contratante, no prazo máximo de 24 (vinte e quatro) horas que antecede a data da entrega, os motivos que impossibilitem o cumprimento do prazo previsto, com a devida comprovação;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7.1.5 manter, durante toda a execução do contrato, em compatibilidade com as obrigações assumidas, todas as condições de habilitação e qualificação exigidas na licitação;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7.1.6 indicar preposto para representá-la durante a execução do contrato.</w:t>
      </w:r>
    </w:p>
    <w:p>
      <w:pPr>
        <w:pStyle w:val="Nivel1"/>
        <w:numPr>
          <w:ilvl w:val="0"/>
          <w:numId w:val="0"/>
        </w:numPr>
        <w:spacing w:before="366" w:after="6"/>
        <w:ind w:left="360" w:hanging="0"/>
        <w:rPr>
          <w:rFonts w:ascii="Arial" w:hAnsi="Arial"/>
          <w:sz w:val="20"/>
          <w:szCs w:val="20"/>
        </w:rPr>
      </w:pPr>
      <w:r>
        <w:rPr>
          <w:sz w:val="20"/>
          <w:szCs w:val="20"/>
        </w:rPr>
        <w:t>8. DA SUBCONTRATAÇÃO</w:t>
      </w:r>
    </w:p>
    <w:p>
      <w:pPr>
        <w:pStyle w:val="Normal"/>
        <w:spacing w:lineRule="auto" w:line="276" w:before="120" w:after="120"/>
        <w:ind w:left="425" w:right="0" w:hanging="0"/>
        <w:jc w:val="both"/>
        <w:rPr/>
      </w:pPr>
      <w:r>
        <w:rPr>
          <w:rStyle w:val="Fontepargpadro"/>
          <w:rFonts w:cs="Arial" w:ascii="Arial" w:hAnsi="Arial"/>
          <w:color w:val="000000"/>
          <w:sz w:val="20"/>
          <w:szCs w:val="20"/>
        </w:rPr>
        <w:t>8.1 Não será admitida a subcontratação do objeto licitatório.</w:t>
      </w:r>
    </w:p>
    <w:p>
      <w:pPr>
        <w:pStyle w:val="Nivel1"/>
        <w:numPr>
          <w:ilvl w:val="0"/>
          <w:numId w:val="0"/>
        </w:numPr>
        <w:spacing w:before="309" w:after="0"/>
        <w:ind w:left="360" w:hanging="0"/>
        <w:rPr>
          <w:rFonts w:ascii="Arial" w:hAnsi="Arial"/>
          <w:sz w:val="20"/>
          <w:szCs w:val="20"/>
          <w:lang w:eastAsia="en-US"/>
        </w:rPr>
      </w:pPr>
      <w:r>
        <w:rPr>
          <w:sz w:val="20"/>
          <w:szCs w:val="20"/>
          <w:lang w:eastAsia="en-US"/>
        </w:rPr>
        <w:t>9. DA ALTERAÇÃO SUBJETIVA</w:t>
      </w:r>
    </w:p>
    <w:p>
      <w:pPr>
        <w:pStyle w:val="Normal"/>
        <w:numPr>
          <w:ilvl w:val="0"/>
          <w:numId w:val="0"/>
        </w:numPr>
        <w:spacing w:lineRule="auto" w:line="276" w:before="120" w:after="120"/>
        <w:ind w:left="1424" w:right="0" w:hanging="0"/>
        <w:jc w:val="both"/>
        <w:rPr>
          <w:rFonts w:ascii="Arial" w:hAnsi="Arial" w:cs="Arial"/>
          <w:sz w:val="20"/>
          <w:szCs w:val="20"/>
          <w:lang w:eastAsia="en-US"/>
        </w:rPr>
      </w:pPr>
      <w:r>
        <w:rPr>
          <w:rFonts w:cs="Arial" w:ascii="Arial" w:hAnsi="Arial"/>
          <w:sz w:val="20"/>
          <w:szCs w:val="20"/>
          <w:lang w:eastAsia="en-US"/>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0"/>
        </w:numPr>
        <w:spacing w:before="366" w:after="6"/>
        <w:ind w:left="360" w:hanging="0"/>
        <w:rPr/>
      </w:pPr>
      <w:r>
        <w:rPr>
          <w:rStyle w:val="Fontepargpadro"/>
          <w:sz w:val="20"/>
          <w:szCs w:val="20"/>
          <w:lang w:eastAsia="en-US"/>
        </w:rPr>
        <w:t xml:space="preserve">10. DO CONTROLE </w:t>
      </w:r>
      <w:r>
        <w:rPr>
          <w:rStyle w:val="Fontepargpadro"/>
          <w:color w:val="00000A"/>
          <w:sz w:val="20"/>
          <w:szCs w:val="20"/>
          <w:lang w:eastAsia="en-US"/>
        </w:rPr>
        <w:t xml:space="preserve">E FISCALIZAÇÃO DA </w:t>
      </w:r>
      <w:r>
        <w:rPr>
          <w:rStyle w:val="Fontepargpadro"/>
          <w:sz w:val="20"/>
          <w:szCs w:val="20"/>
          <w:lang w:eastAsia="en-US"/>
        </w:rPr>
        <w:t>EXECUÇÃO</w:t>
      </w:r>
    </w:p>
    <w:p>
      <w:pPr>
        <w:pStyle w:val="Normal"/>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0"/>
          <w:numId w:val="0"/>
        </w:numPr>
        <w:spacing w:lineRule="auto" w:line="276" w:before="120" w:after="120"/>
        <w:ind w:left="2772" w:right="0" w:hanging="0"/>
        <w:jc w:val="both"/>
        <w:rPr>
          <w:rFonts w:ascii="Arial" w:hAnsi="Arial" w:cs="Arial"/>
          <w:sz w:val="20"/>
          <w:szCs w:val="20"/>
          <w:lang w:eastAsia="en-US"/>
        </w:rPr>
      </w:pPr>
      <w:r>
        <w:rPr>
          <w:rFonts w:cs="Arial" w:ascii="Arial" w:hAnsi="Arial"/>
          <w:sz w:val="20"/>
          <w:szCs w:val="20"/>
          <w:lang w:eastAsia="en-US"/>
        </w:rPr>
        <w:t>10.1.1 O recebimento de material de valor superior a R$ 176.000,00 (cento e setenta e seis mil reais) será confiado a uma comissão de, no mínimo, 3 (três) membros, designados pela autoridade competente.</w:t>
      </w:r>
    </w:p>
    <w:p>
      <w:pPr>
        <w:pStyle w:val="Normal"/>
        <w:numPr>
          <w:ilvl w:val="0"/>
          <w:numId w:val="0"/>
        </w:numPr>
        <w:spacing w:lineRule="auto" w:line="276" w:before="120" w:after="120"/>
        <w:ind w:left="1424" w:right="0" w:hanging="0"/>
        <w:jc w:val="both"/>
        <w:rPr>
          <w:rFonts w:ascii="Arial" w:hAnsi="Arial" w:cs="Arial"/>
          <w:color w:val="000000"/>
          <w:sz w:val="20"/>
          <w:szCs w:val="20"/>
          <w:lang w:eastAsia="en-US"/>
        </w:rPr>
      </w:pPr>
      <w:r>
        <w:rPr>
          <w:rFonts w:cs="Arial" w:ascii="Arial" w:hAnsi="Arial"/>
          <w:color w:val="000000"/>
          <w:sz w:val="20"/>
          <w:szCs w:val="20"/>
          <w:lang w:eastAsia="en-US"/>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0"/>
          <w:numId w:val="0"/>
        </w:numPr>
        <w:spacing w:lineRule="auto" w:line="276" w:before="120" w:after="120"/>
        <w:ind w:left="1424" w:right="0" w:hanging="0"/>
        <w:jc w:val="both"/>
        <w:rPr>
          <w:rFonts w:ascii="Arial" w:hAnsi="Arial" w:cs="Arial"/>
          <w:color w:val="000000"/>
          <w:sz w:val="20"/>
          <w:szCs w:val="20"/>
          <w:lang w:eastAsia="en-US"/>
        </w:rPr>
      </w:pPr>
      <w:r>
        <w:rPr>
          <w:rFonts w:cs="Arial" w:ascii="Arial" w:hAnsi="Arial"/>
          <w:color w:val="000000"/>
          <w:sz w:val="20"/>
          <w:szCs w:val="20"/>
          <w:lang w:eastAsia="en-US"/>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0"/>
        </w:numPr>
        <w:spacing w:before="366" w:after="6"/>
        <w:ind w:left="360" w:hanging="0"/>
        <w:rPr>
          <w:rFonts w:ascii="Arial" w:hAnsi="Arial"/>
          <w:sz w:val="20"/>
          <w:szCs w:val="20"/>
        </w:rPr>
      </w:pPr>
      <w:r>
        <w:rPr>
          <w:sz w:val="20"/>
          <w:szCs w:val="20"/>
        </w:rPr>
        <w:t>11. DO PAGAMENTO</w:t>
      </w:r>
    </w:p>
    <w:p>
      <w:pPr>
        <w:pStyle w:val="PargrafodaLista"/>
        <w:numPr>
          <w:ilvl w:val="0"/>
          <w:numId w:val="0"/>
        </w:numPr>
        <w:spacing w:lineRule="auto" w:line="276" w:before="120" w:after="120"/>
        <w:ind w:left="1080" w:right="0" w:hanging="0"/>
        <w:jc w:val="both"/>
        <w:rPr/>
      </w:pPr>
      <w:r>
        <w:rPr>
          <w:rStyle w:val="Fontepargpadro"/>
          <w:rFonts w:cs="Arial" w:ascii="Arial" w:hAnsi="Arial"/>
          <w:color w:val="000000"/>
          <w:sz w:val="20"/>
          <w:szCs w:val="20"/>
          <w:lang w:eastAsia="en-US"/>
        </w:rPr>
        <w:t>11.1 O pagamento será realizado no prazo máximo de até 30(trinta)</w:t>
      </w:r>
      <w:r>
        <w:rPr>
          <w:rStyle w:val="Fontepargpadro"/>
          <w:rFonts w:cs="Arial" w:ascii="Arial" w:hAnsi="Arial"/>
          <w:color w:val="FF0000"/>
          <w:sz w:val="20"/>
          <w:szCs w:val="20"/>
          <w:lang w:eastAsia="en-US"/>
        </w:rPr>
        <w:t xml:space="preserve"> </w:t>
      </w:r>
      <w:r>
        <w:rPr>
          <w:rStyle w:val="Fontepargpadro"/>
          <w:rFonts w:cs="Arial" w:ascii="Arial" w:hAnsi="Arial"/>
          <w:color w:val="000000"/>
          <w:sz w:val="20"/>
          <w:szCs w:val="20"/>
          <w:lang w:eastAsia="en-US"/>
        </w:rPr>
        <w:t xml:space="preserve">dias, contados a partir </w:t>
      </w:r>
      <w:r>
        <w:rPr>
          <w:rStyle w:val="Fontepargpadro"/>
          <w:rFonts w:cs="Arial" w:ascii="Arial" w:hAnsi="Arial"/>
          <w:color w:val="000000"/>
          <w:sz w:val="20"/>
          <w:szCs w:val="20"/>
        </w:rPr>
        <w:t xml:space="preserve">do recebimento da Nota Fiscal ou Fatura, </w:t>
      </w:r>
      <w:r>
        <w:rPr>
          <w:rStyle w:val="Fontepargpadro"/>
          <w:rFonts w:cs="Arial" w:ascii="Arial" w:hAnsi="Arial"/>
          <w:color w:val="000000"/>
          <w:sz w:val="20"/>
          <w:szCs w:val="20"/>
          <w:lang w:eastAsia="en-US"/>
        </w:rPr>
        <w:t>através de ordem bancária, para crédito em banco, agência e conta corrente indicados pelo contratado.</w:t>
      </w:r>
    </w:p>
    <w:p>
      <w:pPr>
        <w:pStyle w:val="PargrafodaLista"/>
        <w:widowControl/>
        <w:numPr>
          <w:ilvl w:val="0"/>
          <w:numId w:val="0"/>
        </w:numPr>
        <w:suppressAutoHyphens w:val="true"/>
        <w:spacing w:lineRule="auto" w:line="276" w:before="120" w:after="120"/>
        <w:ind w:left="3738" w:right="0" w:hanging="0"/>
        <w:jc w:val="both"/>
        <w:rPr/>
      </w:pPr>
      <w:r>
        <w:rPr>
          <w:rStyle w:val="Fontepargpadro"/>
          <w:rFonts w:cs="Arial" w:ascii="Arial" w:hAnsi="Arial"/>
          <w:sz w:val="20"/>
          <w:szCs w:val="20"/>
          <w:lang w:eastAsia="en-US"/>
        </w:rPr>
        <w:t xml:space="preserve">11.1.1 Os pagamentos decorrentes de despesas cujos valores não ultrapassem o limite </w:t>
      </w:r>
      <w:r>
        <w:rPr>
          <w:rStyle w:val="Fontepargpadro"/>
          <w:rFonts w:cs="Arial" w:ascii="Arial" w:hAnsi="Arial"/>
          <w:sz w:val="20"/>
          <w:szCs w:val="20"/>
        </w:rPr>
        <w:t>de que trata o inciso II do art. 24</w:t>
      </w:r>
      <w:r>
        <w:rPr>
          <w:rStyle w:val="Fontepargpadro"/>
          <w:rFonts w:cs="Arial" w:ascii="Arial" w:hAnsi="Arial"/>
          <w:sz w:val="20"/>
          <w:szCs w:val="20"/>
          <w:lang w:eastAsia="en-US"/>
        </w:rPr>
        <w:t xml:space="preserve"> da Lei 8.666, de 1993, deverão ser efetuados no prazo de até 5 (cinco) dias úteis, contados da data da apresentação da Nota Fiscal, nos termos do art. 5º, § 3º, da Lei nº 8.666, de 1993</w:t>
      </w:r>
      <w:r>
        <w:rPr>
          <w:rStyle w:val="Fontepargpadro"/>
          <w:rFonts w:cs="Arial" w:ascii="Arial" w:hAnsi="Arial"/>
          <w:color w:val="000000"/>
          <w:sz w:val="20"/>
          <w:szCs w:val="20"/>
          <w:lang w:eastAsia="en-US"/>
        </w:rPr>
        <w:t>.</w:t>
      </w:r>
    </w:p>
    <w:p>
      <w:pPr>
        <w:pStyle w:val="PargrafodaLista"/>
        <w:numPr>
          <w:ilvl w:val="0"/>
          <w:numId w:val="0"/>
        </w:numPr>
        <w:spacing w:lineRule="auto" w:line="276" w:before="120" w:after="120"/>
        <w:ind w:left="1080" w:right="0" w:hanging="0"/>
        <w:jc w:val="both"/>
        <w:rPr>
          <w:rFonts w:ascii="Arial" w:hAnsi="Arial" w:cs="Arial"/>
          <w:color w:val="000000"/>
          <w:sz w:val="20"/>
          <w:szCs w:val="20"/>
        </w:rPr>
      </w:pPr>
      <w:r>
        <w:rPr>
          <w:rFonts w:cs="Arial" w:ascii="Arial" w:hAnsi="Arial"/>
          <w:color w:val="000000"/>
          <w:sz w:val="20"/>
          <w:szCs w:val="20"/>
        </w:rPr>
        <w:t>11.2 Considera-se ocorrido o recebimento da nota fiscal ou fatura no momento em que o órgão contratante atestar a execução do objeto do contrato.</w:t>
      </w:r>
    </w:p>
    <w:p>
      <w:pPr>
        <w:pStyle w:val="Normal"/>
        <w:numPr>
          <w:ilvl w:val="0"/>
          <w:numId w:val="0"/>
        </w:numPr>
        <w:spacing w:lineRule="auto" w:line="276" w:before="120" w:after="120"/>
        <w:ind w:left="360" w:hanging="0"/>
        <w:jc w:val="both"/>
        <w:rPr/>
      </w:pPr>
      <w:r>
        <w:rPr>
          <w:rStyle w:val="Fontepargpadro"/>
          <w:rFonts w:ascii="Arial" w:hAnsi="Arial"/>
          <w:color w:val="000000"/>
          <w:sz w:val="20"/>
          <w:szCs w:val="20"/>
        </w:rPr>
        <w:t xml:space="preserve">11.3 A Nota Fiscal ou Fatura deverá ser obrigatoriamente acompanhada da comprovação da regularidade fiscal, constatada por meio de consulta on-line ao SICAF ou, na impossibilidade de acesso </w:t>
      </w:r>
      <w:r>
        <w:rPr>
          <w:rStyle w:val="Fontepargpadro"/>
          <w:rFonts w:cs="Arial" w:ascii="Arial" w:hAnsi="Arial"/>
          <w:color w:val="000000"/>
          <w:sz w:val="20"/>
          <w:szCs w:val="20"/>
          <w:lang w:eastAsia="en-US"/>
        </w:rPr>
        <w:t>ao</w:t>
      </w:r>
      <w:r>
        <w:rPr>
          <w:rStyle w:val="Fontepargpadro"/>
          <w:rFonts w:ascii="Arial" w:hAnsi="Arial"/>
          <w:color w:val="000000"/>
          <w:sz w:val="20"/>
          <w:szCs w:val="20"/>
        </w:rPr>
        <w:t xml:space="preserve"> referido Sistema, mediante consulta aos sítios eletrônicos oficiais ou à documentação mencionada no art. 29 da Lei nº 8.666, de 1993.</w:t>
      </w:r>
    </w:p>
    <w:p>
      <w:pPr>
        <w:pStyle w:val="Normal"/>
        <w:numPr>
          <w:ilvl w:val="0"/>
          <w:numId w:val="0"/>
        </w:numPr>
        <w:spacing w:lineRule="auto" w:line="276" w:before="120" w:after="120"/>
        <w:ind w:left="1638" w:hanging="0"/>
        <w:jc w:val="both"/>
        <w:rPr/>
      </w:pPr>
      <w:r>
        <w:rPr>
          <w:rStyle w:val="Fontepargpadro"/>
          <w:rFonts w:ascii="Arial" w:hAnsi="Arial"/>
          <w:color w:val="000000"/>
          <w:sz w:val="20"/>
          <w:szCs w:val="20"/>
        </w:rPr>
        <w:t xml:space="preserve">11.3.1 Constatando-se, junto ao SICAF, a situação de irregularidade do fornecedor contratado, deverão ser tomadas as providências previstas no do art. 31 da Instrução </w:t>
      </w:r>
      <w:r>
        <w:rPr>
          <w:rStyle w:val="Fontepargpadro"/>
          <w:rFonts w:cs="Arial" w:ascii="Arial" w:hAnsi="Arial"/>
          <w:color w:val="000000"/>
          <w:sz w:val="20"/>
          <w:szCs w:val="20"/>
          <w:lang w:eastAsia="en-US"/>
        </w:rPr>
        <w:t>Normativa</w:t>
      </w:r>
      <w:r>
        <w:rPr>
          <w:rStyle w:val="Fontepargpadro"/>
          <w:rFonts w:ascii="Arial" w:hAnsi="Arial"/>
          <w:color w:val="000000"/>
          <w:sz w:val="20"/>
          <w:szCs w:val="20"/>
        </w:rPr>
        <w:t xml:space="preserve"> nº 3, de 26 de abril de 2018.</w:t>
      </w:r>
    </w:p>
    <w:p>
      <w:pPr>
        <w:pStyle w:val="PargrafodaLista"/>
        <w:numPr>
          <w:ilvl w:val="0"/>
          <w:numId w:val="0"/>
        </w:numPr>
        <w:spacing w:lineRule="auto" w:line="276" w:before="120" w:after="120"/>
        <w:ind w:left="1424" w:right="0" w:hanging="0"/>
        <w:jc w:val="both"/>
        <w:rPr/>
      </w:pPr>
      <w:r>
        <w:rPr>
          <w:rStyle w:val="Fontepargpadro"/>
          <w:rFonts w:cs="Arial" w:ascii="Arial" w:hAnsi="Arial"/>
          <w:color w:val="000000"/>
          <w:sz w:val="20"/>
          <w:szCs w:val="20"/>
          <w:lang w:eastAsia="en-US"/>
        </w:rPr>
        <w:t xml:space="preserve">11.4 Havendo erro na apresentação da Nota Fiscal ou dos documentos pertinentes à contratação, ou, ainda, circunstância que impeça a liquidação da despesa, como, por exemplo, </w:t>
      </w:r>
      <w:r>
        <w:rPr>
          <w:rStyle w:val="Fontepargpadro"/>
          <w:rFonts w:cs="Arial" w:ascii="Arial" w:hAnsi="Arial"/>
          <w:color w:val="000000"/>
          <w:sz w:val="20"/>
          <w:szCs w:val="20"/>
        </w:rPr>
        <w:t>obrigação financeira pendente, decorrente de penalidade imposta ou inadimplência,</w:t>
      </w:r>
      <w:r>
        <w:rPr>
          <w:rStyle w:val="Fontepargpadro"/>
          <w:rFonts w:cs="Arial" w:ascii="Arial" w:hAnsi="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11.5 Será considerada data do pagamento o dia em que constar como emitida a ordem bancária para pagamento.</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11.6 Antes de cada pagamento à contratada, será realizada consulta ao SICAF para verificar a manutenção das condições de habilitação exigidas no edital.</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11.7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11.8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 xml:space="preserve">11.9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11.10 Persistindo a irregularidade, a contratante deverá adotar as medidas necessárias à rescisão contratual nos autos do processo administrativo correspondente, assegurada à contratada a ampla defesa.</w:t>
      </w:r>
    </w:p>
    <w:p>
      <w:pPr>
        <w:pStyle w:val="Normal"/>
        <w:numPr>
          <w:ilvl w:val="0"/>
          <w:numId w:val="0"/>
        </w:numPr>
        <w:spacing w:lineRule="auto" w:line="276" w:before="120" w:after="120"/>
        <w:ind w:left="360" w:hanging="0"/>
        <w:jc w:val="both"/>
        <w:rPr>
          <w:rFonts w:ascii="Arial" w:hAnsi="Arial" w:cs="Arial"/>
          <w:sz w:val="20"/>
          <w:szCs w:val="20"/>
          <w:lang w:eastAsia="en-US"/>
        </w:rPr>
      </w:pPr>
      <w:r>
        <w:rPr>
          <w:rFonts w:cs="Arial" w:ascii="Arial" w:hAnsi="Arial"/>
          <w:sz w:val="20"/>
          <w:szCs w:val="20"/>
          <w:lang w:eastAsia="en-US"/>
        </w:rPr>
        <w:t xml:space="preserve">11.11 Havendo a efetiva execução do objeto, os pagamentos serão realizados normalmente, até que se decida pela rescisão do contrato, caso a contratada não regularize sua situação junto ao SICAF.  </w:t>
      </w:r>
    </w:p>
    <w:p>
      <w:pPr>
        <w:pStyle w:val="Normal"/>
        <w:numPr>
          <w:ilvl w:val="0"/>
          <w:numId w:val="0"/>
        </w:numPr>
        <w:spacing w:lineRule="auto" w:line="276" w:before="120" w:after="120"/>
        <w:ind w:left="1638" w:hanging="0"/>
        <w:jc w:val="both"/>
        <w:rPr>
          <w:rFonts w:ascii="Arial" w:hAnsi="Arial" w:cs="Arial"/>
          <w:sz w:val="20"/>
          <w:szCs w:val="20"/>
          <w:lang w:eastAsia="en-US"/>
        </w:rPr>
      </w:pPr>
      <w:r>
        <w:rPr>
          <w:rFonts w:cs="Arial" w:ascii="Arial" w:hAnsi="Arial"/>
          <w:sz w:val="20"/>
          <w:szCs w:val="20"/>
          <w:lang w:eastAsia="en-US"/>
        </w:rPr>
        <w:t>11.11.1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numPr>
          <w:ilvl w:val="0"/>
          <w:numId w:val="0"/>
        </w:numPr>
        <w:spacing w:lineRule="auto" w:line="276" w:before="120" w:after="120"/>
        <w:ind w:left="1638" w:hanging="0"/>
        <w:jc w:val="both"/>
        <w:rPr>
          <w:rFonts w:ascii="Arial" w:hAnsi="Arial" w:cs="Arial"/>
          <w:sz w:val="20"/>
          <w:szCs w:val="20"/>
          <w:highlight w:val="yellow"/>
          <w:lang w:eastAsia="en-US"/>
        </w:rPr>
      </w:pPr>
      <w:r>
        <w:rPr>
          <w:rFonts w:cs="Arial" w:ascii="Arial" w:hAnsi="Arial"/>
          <w:sz w:val="20"/>
          <w:szCs w:val="20"/>
          <w:highlight w:val="yellow"/>
          <w:lang w:eastAsia="en-US"/>
        </w:rPr>
        <w:t>11.11.2 Além do disposto no subitem acima, poderá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fornecedores ou prestadores de serviços</w:t>
      </w:r>
    </w:p>
    <w:p>
      <w:pPr>
        <w:pStyle w:val="PargrafodaLista"/>
        <w:numPr>
          <w:ilvl w:val="0"/>
          <w:numId w:val="0"/>
        </w:numPr>
        <w:spacing w:lineRule="auto" w:line="276" w:before="120" w:after="120"/>
        <w:ind w:left="1080" w:right="0" w:hanging="0"/>
        <w:jc w:val="both"/>
        <w:rPr>
          <w:rFonts w:ascii="Arial" w:hAnsi="Arial" w:cs="Arial"/>
          <w:color w:val="000000"/>
          <w:sz w:val="20"/>
          <w:szCs w:val="20"/>
        </w:rPr>
      </w:pPr>
      <w:r>
        <w:rPr>
          <w:rFonts w:cs="Arial" w:ascii="Arial" w:hAnsi="Arial"/>
          <w:color w:val="000000"/>
          <w:sz w:val="20"/>
          <w:szCs w:val="20"/>
        </w:rPr>
        <w:t>11.12 Quando do pagamento, será efetuada a retenção tributária prevista na legislação aplicável.</w:t>
      </w:r>
    </w:p>
    <w:p>
      <w:pPr>
        <w:pStyle w:val="Normal"/>
        <w:numPr>
          <w:ilvl w:val="0"/>
          <w:numId w:val="0"/>
        </w:numPr>
        <w:tabs>
          <w:tab w:val="left" w:pos="1440" w:leader="none"/>
        </w:tabs>
        <w:snapToGrid w:val="false"/>
        <w:spacing w:lineRule="auto" w:line="276" w:before="120" w:after="120"/>
        <w:ind w:left="2772" w:right="0" w:hanging="0"/>
        <w:jc w:val="both"/>
        <w:rPr>
          <w:rFonts w:ascii="Arial" w:hAnsi="Arial" w:cs="Arial"/>
          <w:sz w:val="20"/>
          <w:szCs w:val="20"/>
        </w:rPr>
      </w:pPr>
      <w:r>
        <w:rPr>
          <w:rFonts w:cs="Arial" w:ascii="Arial" w:hAnsi="Arial"/>
          <w:color w:val="000000"/>
          <w:sz w:val="20"/>
          <w:szCs w:val="20"/>
        </w:rPr>
        <w:t>11.12.1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11.13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EM = I x N x VP, sendo:</w:t>
      </w:r>
    </w:p>
    <w:p>
      <w:pPr>
        <w:pStyle w:val="Normal"/>
        <w:tabs>
          <w:tab w:val="left" w:pos="1701" w:leader="none"/>
        </w:tabs>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EM = Encargos moratórios;</w:t>
      </w:r>
    </w:p>
    <w:p>
      <w:pPr>
        <w:pStyle w:val="Normal"/>
        <w:tabs>
          <w:tab w:val="left" w:pos="1701" w:leader="none"/>
        </w:tabs>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N = Número de dias entre a data prevista para o pagamento e a do efetivo pagamento;</w:t>
      </w:r>
    </w:p>
    <w:p>
      <w:pPr>
        <w:pStyle w:val="Normal"/>
        <w:tabs>
          <w:tab w:val="left" w:pos="1701" w:leader="none"/>
        </w:tabs>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VP = Valor da parcela a ser paga.</w:t>
      </w:r>
    </w:p>
    <w:p>
      <w:pPr>
        <w:pStyle w:val="Normal"/>
        <w:tabs>
          <w:tab w:val="left" w:pos="1701" w:leader="none"/>
        </w:tabs>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I = Índice de compensação financeira = 0,00016438, assim apurado:</w:t>
      </w:r>
    </w:p>
    <w:tbl>
      <w:tblPr>
        <w:tblW w:w="8647" w:type="dxa"/>
        <w:jc w:val="left"/>
        <w:tblInd w:w="533" w:type="dxa"/>
        <w:tblBorders/>
        <w:tblCellMar>
          <w:top w:w="0" w:type="dxa"/>
          <w:left w:w="108" w:type="dxa"/>
          <w:bottom w:w="0" w:type="dxa"/>
          <w:right w:w="108" w:type="dxa"/>
        </w:tblCellMar>
      </w:tblPr>
      <w:tblGrid>
        <w:gridCol w:w="2147"/>
        <w:gridCol w:w="578"/>
        <w:gridCol w:w="1248"/>
        <w:gridCol w:w="4673"/>
      </w:tblGrid>
      <w:tr>
        <w:trPr/>
        <w:tc>
          <w:tcPr>
            <w:tcW w:w="2147" w:type="dxa"/>
            <w:tcBorders/>
            <w:shd w:fill="auto" w:val="clear"/>
            <w:vAlign w:val="center"/>
          </w:tcPr>
          <w:p>
            <w:pPr>
              <w:pStyle w:val="Normal"/>
              <w:tabs>
                <w:tab w:val="left" w:pos="1701" w:leader="none"/>
              </w:tabs>
              <w:jc w:val="center"/>
              <w:rPr>
                <w:rFonts w:ascii="Arial" w:hAnsi="Arial" w:eastAsia="MS Mincho" w:cs="Arial"/>
                <w:color w:val="000000"/>
                <w:sz w:val="20"/>
                <w:szCs w:val="20"/>
                <w:lang w:eastAsia="en-US"/>
              </w:rPr>
            </w:pPr>
            <w:r>
              <w:rPr>
                <w:rFonts w:eastAsia="MS Mincho" w:cs="Arial" w:ascii="Arial" w:hAnsi="Arial"/>
                <w:color w:val="000000"/>
                <w:sz w:val="20"/>
                <w:szCs w:val="20"/>
                <w:lang w:eastAsia="en-US"/>
              </w:rPr>
              <w:t>I = (TX)</w:t>
            </w:r>
          </w:p>
        </w:tc>
        <w:tc>
          <w:tcPr>
            <w:tcW w:w="578" w:type="dxa"/>
            <w:tcBorders/>
            <w:shd w:fill="auto" w:val="clear"/>
            <w:vAlign w:val="center"/>
          </w:tcPr>
          <w:p>
            <w:pPr>
              <w:pStyle w:val="Normal"/>
              <w:tabs>
                <w:tab w:val="left" w:pos="1701" w:leader="none"/>
              </w:tabs>
              <w:rPr>
                <w:rFonts w:ascii="Arial" w:hAnsi="Arial" w:eastAsia="MS Mincho" w:cs="Arial"/>
                <w:color w:val="000000"/>
                <w:sz w:val="20"/>
                <w:szCs w:val="20"/>
                <w:lang w:eastAsia="en-US"/>
              </w:rPr>
            </w:pPr>
            <w:r>
              <w:rPr>
                <w:rFonts w:eastAsia="MS Mincho" w:cs="Arial" w:ascii="Arial" w:hAnsi="Arial"/>
                <w:color w:val="000000"/>
                <w:sz w:val="20"/>
                <w:szCs w:val="20"/>
                <w:lang w:eastAsia="en-US"/>
              </w:rPr>
              <w:t>I =</w:t>
            </w:r>
          </w:p>
        </w:tc>
        <w:tc>
          <w:tcPr>
            <w:tcW w:w="1248" w:type="dxa"/>
            <w:tcBorders>
              <w:top w:val="single" w:sz="4" w:space="0" w:color="000001"/>
              <w:bottom w:val="single" w:sz="4" w:space="0" w:color="000001"/>
              <w:insideH w:val="single" w:sz="4" w:space="0" w:color="000001"/>
            </w:tcBorders>
            <w:shd w:fill="auto" w:val="clear"/>
          </w:tcPr>
          <w:p>
            <w:pPr>
              <w:pStyle w:val="Normal"/>
              <w:tabs>
                <w:tab w:val="left" w:pos="1701" w:leader="none"/>
              </w:tabs>
              <w:jc w:val="center"/>
              <w:rPr>
                <w:rFonts w:ascii="Arial" w:hAnsi="Arial" w:eastAsia="MS Mincho" w:cs="Arial"/>
                <w:color w:val="000000"/>
                <w:sz w:val="20"/>
                <w:szCs w:val="20"/>
                <w:lang w:eastAsia="en-US"/>
              </w:rPr>
            </w:pPr>
            <w:r>
              <w:rPr>
                <w:rFonts w:eastAsia="MS Mincho" w:cs="Arial" w:ascii="Arial" w:hAnsi="Arial"/>
                <w:color w:val="000000"/>
                <w:sz w:val="20"/>
                <w:szCs w:val="20"/>
                <w:lang w:eastAsia="en-US"/>
              </w:rPr>
              <w:t>( 6 / 100 )</w:t>
            </w:r>
          </w:p>
        </w:tc>
        <w:tc>
          <w:tcPr>
            <w:tcW w:w="4673" w:type="dxa"/>
            <w:tcBorders/>
            <w:shd w:fill="auto" w:val="clear"/>
            <w:vAlign w:val="center"/>
          </w:tcPr>
          <w:p>
            <w:pPr>
              <w:pStyle w:val="Normal"/>
              <w:tabs>
                <w:tab w:val="left" w:pos="1701" w:leader="none"/>
              </w:tabs>
              <w:ind w:left="742" w:right="0" w:hanging="0"/>
              <w:rPr>
                <w:rFonts w:ascii="Arial" w:hAnsi="Arial" w:eastAsia="MS Mincho" w:cs="Arial"/>
                <w:color w:val="000000"/>
                <w:sz w:val="20"/>
                <w:szCs w:val="20"/>
                <w:lang w:eastAsia="en-US"/>
              </w:rPr>
            </w:pPr>
            <w:r>
              <w:rPr>
                <w:rFonts w:eastAsia="MS Mincho" w:cs="Arial" w:ascii="Arial" w:hAnsi="Arial"/>
                <w:color w:val="000000"/>
                <w:sz w:val="20"/>
                <w:szCs w:val="20"/>
                <w:lang w:eastAsia="en-US"/>
              </w:rPr>
              <w:t>I = 0,00016438</w:t>
            </w:r>
          </w:p>
          <w:p>
            <w:pPr>
              <w:pStyle w:val="Normal"/>
              <w:tabs>
                <w:tab w:val="left" w:pos="1701" w:leader="none"/>
              </w:tabs>
              <w:ind w:left="742" w:right="0" w:hanging="0"/>
              <w:rPr>
                <w:rFonts w:ascii="Arial" w:hAnsi="Arial" w:eastAsia="MS Mincho" w:cs="Arial"/>
                <w:color w:val="000000"/>
                <w:sz w:val="20"/>
                <w:szCs w:val="20"/>
                <w:lang w:eastAsia="en-US"/>
              </w:rPr>
            </w:pPr>
            <w:r>
              <w:rPr>
                <w:rFonts w:eastAsia="MS Mincho" w:cs="Arial" w:ascii="Arial" w:hAnsi="Arial"/>
                <w:color w:val="000000"/>
                <w:sz w:val="20"/>
                <w:szCs w:val="20"/>
                <w:lang w:eastAsia="en-US"/>
              </w:rPr>
              <w:t>TX = Percentual da taxa anual = 6%</w:t>
            </w:r>
          </w:p>
        </w:tc>
      </w:tr>
    </w:tbl>
    <w:p>
      <w:pPr>
        <w:pStyle w:val="Normal"/>
        <w:rPr>
          <w:rFonts w:ascii="Arial" w:hAnsi="Arial"/>
          <w:sz w:val="20"/>
          <w:szCs w:val="20"/>
        </w:rPr>
      </w:pPr>
      <w:r>
        <w:rPr>
          <w:rFonts w:ascii="Arial" w:hAnsi="Arial"/>
          <w:sz w:val="20"/>
          <w:szCs w:val="20"/>
        </w:rPr>
        <w:t xml:space="preserve">                                                            </w:t>
      </w:r>
      <w:r>
        <w:rPr>
          <w:rFonts w:ascii="Arial" w:hAnsi="Arial"/>
          <w:sz w:val="20"/>
          <w:szCs w:val="20"/>
        </w:rPr>
        <w:t>365</w:t>
      </w:r>
    </w:p>
    <w:p>
      <w:pPr>
        <w:pStyle w:val="Nivel1"/>
        <w:numPr>
          <w:ilvl w:val="0"/>
          <w:numId w:val="0"/>
        </w:numPr>
        <w:ind w:left="360" w:hanging="0"/>
        <w:rPr>
          <w:rFonts w:ascii="Arial" w:hAnsi="Arial"/>
          <w:sz w:val="20"/>
          <w:szCs w:val="20"/>
        </w:rPr>
      </w:pPr>
      <w:r>
        <w:rPr>
          <w:sz w:val="20"/>
          <w:szCs w:val="20"/>
        </w:rPr>
        <w:t>12. DO REAJUSTE</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12.1 Os preços são fixos e irreajustáveis no prazo de um ano contado da data limite para a apresentação das propostas.</w:t>
      </w:r>
    </w:p>
    <w:p>
      <w:pPr>
        <w:pStyle w:val="PargrafodaLista"/>
        <w:numPr>
          <w:ilvl w:val="0"/>
          <w:numId w:val="0"/>
        </w:numPr>
        <w:spacing w:lineRule="auto" w:line="276" w:before="120" w:after="120"/>
        <w:ind w:left="2772" w:right="0" w:hanging="0"/>
        <w:jc w:val="both"/>
        <w:rPr/>
      </w:pPr>
      <w:r>
        <w:rPr>
          <w:rStyle w:val="Fontepargpadro"/>
          <w:rFonts w:cs="Arial" w:ascii="Arial" w:hAnsi="Arial"/>
          <w:sz w:val="20"/>
          <w:szCs w:val="20"/>
        </w:rPr>
        <w:t>12.1.1 Dentro do prazo de vigência do contrato e mediante solicitação da contratada, os preços contratados poderão sofrer reajuste após o interregno de um ano, aplicando-se o</w:t>
      </w:r>
      <w:r>
        <w:rPr>
          <w:rStyle w:val="Fontepargpadro"/>
          <w:rFonts w:cs="Arial" w:ascii="Arial" w:hAnsi="Arial"/>
          <w:b/>
          <w:bCs/>
          <w:sz w:val="20"/>
          <w:szCs w:val="20"/>
        </w:rPr>
        <w:t xml:space="preserve"> Índice de Preço ao produto Amplo - IPA-M</w:t>
      </w:r>
      <w:r>
        <w:rPr>
          <w:rStyle w:val="Fontepargpadro"/>
          <w:rFonts w:cs="Arial" w:ascii="Arial" w:hAnsi="Arial"/>
          <w:sz w:val="20"/>
          <w:szCs w:val="20"/>
        </w:rPr>
        <w:t xml:space="preserve"> exclusivamente para as obrigações iniciadas e concluídas após a ocorrência da anualidade</w:t>
      </w:r>
      <w:r>
        <w:rPr>
          <w:rStyle w:val="Fontepargpadro"/>
          <w:rFonts w:cs="Arial" w:ascii="Arial" w:hAnsi="Arial"/>
          <w:color w:val="000000"/>
          <w:sz w:val="20"/>
          <w:szCs w:val="20"/>
        </w:rPr>
        <w:t>.</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12.2 Nos reajustes subsequentes ao primeiro, o interregno mínimo de um ano será contado a partir dos efeitos financeiros do último reajuste.</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12.4 Nas aferições finais, o índice utilizado para reajuste será, obrigatoriamente, o definitivo.</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12.5 Caso o índice estabelecido para reajustamento venha a ser extinto ou de qualquer forma não possa mais ser utilizado, será adotado, em substituição, o que vier a ser determinado pela legislação então em vigor.</w:t>
      </w:r>
    </w:p>
    <w:p>
      <w:pPr>
        <w:pStyle w:val="PargrafodaLista"/>
        <w:numPr>
          <w:ilvl w:val="0"/>
          <w:numId w:val="0"/>
        </w:numPr>
        <w:spacing w:lineRule="auto" w:line="276" w:before="120" w:after="120"/>
        <w:ind w:left="1424" w:right="0" w:hanging="0"/>
        <w:jc w:val="both"/>
        <w:rPr>
          <w:rFonts w:ascii="Arial" w:hAnsi="Arial" w:cs="Arial"/>
          <w:color w:val="000000"/>
          <w:sz w:val="20"/>
          <w:szCs w:val="20"/>
        </w:rPr>
      </w:pPr>
      <w:r>
        <w:rPr>
          <w:rFonts w:cs="Arial" w:ascii="Arial" w:hAnsi="Arial"/>
          <w:color w:val="000000"/>
          <w:sz w:val="20"/>
          <w:szCs w:val="20"/>
        </w:rPr>
        <w:t>12.6 Na ausência de previsão legal quanto ao índice substituto, as partes elegerão novo índice oficial, para reajustamento do preço do valor remanescente, por meio de termo aditivo.</w:t>
      </w:r>
    </w:p>
    <w:p>
      <w:pPr>
        <w:pStyle w:val="PargrafodaLista"/>
        <w:numPr>
          <w:ilvl w:val="0"/>
          <w:numId w:val="0"/>
        </w:numPr>
        <w:spacing w:lineRule="auto" w:line="276" w:before="0" w:after="120"/>
        <w:ind w:left="1424" w:right="0" w:hanging="0"/>
        <w:jc w:val="both"/>
        <w:rPr>
          <w:rFonts w:ascii="Arial" w:hAnsi="Arial" w:cs="Arial"/>
          <w:color w:val="000000"/>
          <w:sz w:val="20"/>
          <w:szCs w:val="20"/>
        </w:rPr>
      </w:pPr>
      <w:r>
        <w:rPr>
          <w:rFonts w:cs="Arial" w:ascii="Arial" w:hAnsi="Arial"/>
          <w:color w:val="000000"/>
          <w:sz w:val="20"/>
          <w:szCs w:val="20"/>
        </w:rPr>
        <w:t>12.7 O reajuste será realizado por apostilamento.</w:t>
      </w:r>
    </w:p>
    <w:p>
      <w:pPr>
        <w:pStyle w:val="Normal"/>
        <w:spacing w:lineRule="auto" w:line="276" w:before="0" w:after="120"/>
        <w:ind w:left="425" w:right="0" w:hanging="0"/>
        <w:jc w:val="both"/>
        <w:rPr>
          <w:rFonts w:ascii="Arial" w:hAnsi="Arial" w:cs="Arial"/>
          <w:color w:val="000000"/>
          <w:sz w:val="20"/>
          <w:szCs w:val="20"/>
        </w:rPr>
      </w:pPr>
      <w:r>
        <w:rPr>
          <w:rFonts w:cs="Arial" w:ascii="Arial" w:hAnsi="Arial"/>
          <w:color w:val="000000"/>
          <w:sz w:val="20"/>
          <w:szCs w:val="20"/>
        </w:rPr>
      </w:r>
    </w:p>
    <w:p>
      <w:pPr>
        <w:pStyle w:val="Nivel1"/>
        <w:numPr>
          <w:ilvl w:val="0"/>
          <w:numId w:val="0"/>
        </w:numPr>
        <w:spacing w:before="0" w:after="0"/>
        <w:ind w:left="360" w:hanging="0"/>
        <w:rPr>
          <w:rFonts w:ascii="Arial" w:hAnsi="Arial"/>
          <w:sz w:val="20"/>
          <w:szCs w:val="20"/>
        </w:rPr>
      </w:pPr>
      <w:r>
        <w:rPr>
          <w:sz w:val="20"/>
          <w:szCs w:val="20"/>
        </w:rPr>
        <w:t>13. DA GARANTIA DE EXECUÇÃO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13.1 Não haverá exigência de garantia contratual da execução, pelas razões abaixo justificadas:</w:t>
      </w:r>
    </w:p>
    <w:p>
      <w:pPr>
        <w:pStyle w:val="Nivel1"/>
        <w:numPr>
          <w:ilvl w:val="0"/>
          <w:numId w:val="0"/>
        </w:numPr>
        <w:spacing w:before="120" w:after="0"/>
        <w:ind w:left="1638" w:hanging="0"/>
        <w:rPr/>
      </w:pPr>
      <w:r>
        <w:rPr>
          <w:rStyle w:val="Fontepargpadro"/>
          <w:rFonts w:eastAsia="Times New Roman"/>
          <w:b w:val="false"/>
          <w:i/>
          <w:color w:val="00000A"/>
          <w:sz w:val="20"/>
          <w:szCs w:val="20"/>
        </w:rPr>
        <w:t>13.1.1 Os produtos objeto dessa aquisição serão entregues de forma rápida e não implicará em risco de prejuízos considerados para administração, que terá outras formas de rever os prejuízos perante a inexecução do contrato, como por exemplos, recorrer ao Código de Defesa do Consumidor (Lei nº 8.078, de 1990); a convocação de outras empresas e aplicação de penalidades como a multa.</w:t>
      </w:r>
    </w:p>
    <w:p>
      <w:pPr>
        <w:pStyle w:val="Nivel1"/>
        <w:numPr>
          <w:ilvl w:val="0"/>
          <w:numId w:val="0"/>
        </w:numPr>
        <w:ind w:left="360" w:right="0" w:hanging="0"/>
        <w:rPr>
          <w:rFonts w:ascii="Arial" w:hAnsi="Arial"/>
          <w:sz w:val="20"/>
          <w:szCs w:val="20"/>
        </w:rPr>
      </w:pPr>
      <w:r>
        <w:rPr>
          <w:sz w:val="20"/>
          <w:szCs w:val="20"/>
        </w:rPr>
        <w:t>14. DAS SANÇÕES ADMINISTRATIVAS</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14.1 Comete infração administrativa nos termos da Lei nº 10.520, de 2002, a Contratada que:</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14.1.1 inexecutar total ou parcialmente qualquer das obrigações assumidas em decorrência da contratação;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14.1.2 ensejar o retardamento da execução do objeto;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14.1.3 falhar ou fraudar na execução do contrato;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14.1.4 comportar-se de modo inidôneo;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14.1.5 cometer fraude fiscal;</w:t>
      </w:r>
    </w:p>
    <w:p>
      <w:pPr>
        <w:pStyle w:val="PargrafodaLista"/>
        <w:numPr>
          <w:ilvl w:val="0"/>
          <w:numId w:val="0"/>
        </w:numPr>
        <w:spacing w:lineRule="auto" w:line="276" w:before="120" w:after="120"/>
        <w:ind w:left="999" w:right="-30" w:hanging="0"/>
        <w:jc w:val="both"/>
        <w:rPr/>
      </w:pPr>
      <w:r>
        <w:rPr>
          <w:rStyle w:val="Fontepargpadro"/>
          <w:rFonts w:cs="Arial" w:ascii="Arial" w:hAnsi="Arial"/>
          <w:sz w:val="20"/>
          <w:szCs w:val="20"/>
        </w:rPr>
        <w:t xml:space="preserve">14.2 Pela inexecução </w:t>
      </w:r>
      <w:r>
        <w:rPr>
          <w:rStyle w:val="Fontepargpadro"/>
          <w:rFonts w:cs="Arial" w:ascii="Arial" w:hAnsi="Arial"/>
          <w:sz w:val="20"/>
          <w:szCs w:val="20"/>
          <w:u w:val="single"/>
        </w:rPr>
        <w:t>total ou parcial</w:t>
      </w:r>
      <w:r>
        <w:rPr>
          <w:rStyle w:val="Fontepargpadro"/>
          <w:rFonts w:cs="Arial" w:ascii="Arial" w:hAnsi="Arial"/>
          <w:sz w:val="20"/>
          <w:szCs w:val="20"/>
        </w:rPr>
        <w:t xml:space="preserve"> do objeto deste contrato, a Administração pode aplicar à CONTRATADA as seguintes sanções:</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14.2.1 Advertência, por faltas leves, assim entendidas aquelas que não acarretem prejuízos significativos para a Contratante;</w:t>
      </w:r>
    </w:p>
    <w:p>
      <w:pPr>
        <w:pStyle w:val="Normal"/>
        <w:numPr>
          <w:ilvl w:val="0"/>
          <w:numId w:val="0"/>
        </w:numPr>
        <w:spacing w:lineRule="auto" w:line="276" w:before="120" w:after="120"/>
        <w:ind w:left="2772" w:right="0" w:hanging="0"/>
        <w:jc w:val="both"/>
        <w:rPr/>
      </w:pPr>
      <w:r>
        <w:rPr>
          <w:rStyle w:val="Fontepargpadro"/>
          <w:rFonts w:cs="Arial" w:ascii="Arial" w:hAnsi="Arial"/>
          <w:sz w:val="20"/>
          <w:szCs w:val="20"/>
        </w:rPr>
        <w:t xml:space="preserve">14.2.2 multa moratória de 1% (um por cento) por dia de atraso injustificado sobre o valor da parcela inadimplida, até o limite de </w:t>
      </w:r>
      <w:r>
        <w:rPr>
          <w:rStyle w:val="Fontepargpadro"/>
          <w:rFonts w:cs="Arial" w:ascii="Arial" w:hAnsi="Arial"/>
          <w:color w:val="000000"/>
          <w:sz w:val="20"/>
          <w:szCs w:val="20"/>
        </w:rPr>
        <w:t>30 (trinta) dias;</w:t>
      </w:r>
    </w:p>
    <w:p>
      <w:pPr>
        <w:pStyle w:val="Normal"/>
        <w:numPr>
          <w:ilvl w:val="0"/>
          <w:numId w:val="0"/>
        </w:numPr>
        <w:spacing w:lineRule="auto" w:line="276" w:before="120" w:after="120"/>
        <w:ind w:left="2772" w:right="0" w:hanging="0"/>
        <w:jc w:val="both"/>
        <w:rPr/>
      </w:pPr>
      <w:r>
        <w:rPr>
          <w:rStyle w:val="Fontepargpadro"/>
          <w:rFonts w:cs="Arial" w:ascii="Arial" w:hAnsi="Arial"/>
          <w:sz w:val="20"/>
          <w:szCs w:val="20"/>
        </w:rPr>
        <w:t xml:space="preserve">14.2.3 multa compensatória de </w:t>
      </w:r>
      <w:r>
        <w:rPr>
          <w:rStyle w:val="Fontepargpadro"/>
          <w:rFonts w:cs="Arial" w:ascii="Arial" w:hAnsi="Arial"/>
          <w:color w:val="000000"/>
          <w:sz w:val="20"/>
          <w:szCs w:val="20"/>
        </w:rPr>
        <w:t xml:space="preserve">10% (dez por cento) </w:t>
      </w:r>
      <w:r>
        <w:rPr>
          <w:rStyle w:val="Fontepargpadro"/>
          <w:rFonts w:cs="Arial" w:ascii="Arial" w:hAnsi="Arial"/>
          <w:sz w:val="20"/>
          <w:szCs w:val="20"/>
        </w:rPr>
        <w:t>sobre o valor total do contrato, no caso de inexecução total do objeto;</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14.2.4 em caso de inexecução parcial, a multa compensatória, no mesmo percentual do subitem acima, será aplicada de forma proporcional à obrigação inadimplida;</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14.2.5 suspensão de licitar e impedimento de contratar com o órgão, entidade ou unidade administrativa pela qual a Administração Pública opera e atua concretamente, pelo prazo de até dois anos;</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14.2.6 impedimento de licitar e contratar com órgãos e entidades da União com o consequente descredenciamento no SICAF pelo prazo de até cinco anos;</w:t>
      </w:r>
    </w:p>
    <w:p>
      <w:pPr>
        <w:pStyle w:val="PargrafodaLista1"/>
        <w:widowControl/>
        <w:numPr>
          <w:ilvl w:val="0"/>
          <w:numId w:val="0"/>
        </w:numPr>
        <w:suppressAutoHyphens w:val="true"/>
        <w:spacing w:lineRule="auto" w:line="276" w:before="120" w:after="120"/>
        <w:ind w:left="4248" w:right="0" w:hanging="0"/>
        <w:jc w:val="both"/>
        <w:rPr>
          <w:rFonts w:ascii="Arial" w:hAnsi="Arial" w:cs="Arial"/>
          <w:sz w:val="20"/>
          <w:szCs w:val="20"/>
        </w:rPr>
      </w:pPr>
      <w:r>
        <w:rPr>
          <w:rFonts w:cs="Arial" w:ascii="Arial" w:hAnsi="Arial"/>
          <w:sz w:val="20"/>
          <w:szCs w:val="20"/>
        </w:rPr>
        <w:t>14.2.6.1 A Sanção de impedimento de licitar e contratar prevista neste subitem também é aplicável em quaisquer das hipóteses previstas como infração administrativa no subitem 14.1 deste Termo de Referência.</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widowControl/>
        <w:numPr>
          <w:ilvl w:val="0"/>
          <w:numId w:val="0"/>
        </w:numPr>
        <w:bidi w:val="0"/>
        <w:spacing w:lineRule="auto" w:line="276" w:before="120" w:after="120"/>
        <w:ind w:left="1509" w:right="-57" w:hanging="0"/>
        <w:jc w:val="both"/>
        <w:rPr>
          <w:rFonts w:ascii="Arial" w:hAnsi="Arial" w:cs="Arial"/>
          <w:sz w:val="20"/>
          <w:szCs w:val="20"/>
        </w:rPr>
      </w:pPr>
      <w:r>
        <w:rPr>
          <w:rFonts w:cs="Arial" w:ascii="Arial" w:hAnsi="Arial"/>
          <w:sz w:val="20"/>
          <w:szCs w:val="20"/>
        </w:rPr>
        <w:t>14.3 As sanções previstas nos subitens acima poderão ser aplicadas à CONTRATADA juntamente com as de multa, descontando-a dos pagamentos a serem efetuados.</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14.4 Também ficam sujeitas às penalidades do art. 87, III e IV da Lei nº 8.666, de 1993, as empresas ou profissionais que:</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14.4.1 tenham sofrido condenação definitiva por praticar, por meio dolosos, fraude fiscal no recolhimento de quaisquer tributos;</w:t>
      </w:r>
    </w:p>
    <w:p>
      <w:pPr>
        <w:pStyle w:val="Normal"/>
        <w:numPr>
          <w:ilvl w:val="0"/>
          <w:numId w:val="0"/>
        </w:numPr>
        <w:spacing w:lineRule="auto" w:line="276" w:before="120" w:after="120"/>
        <w:ind w:left="2772" w:right="0" w:hanging="0"/>
        <w:jc w:val="both"/>
        <w:rPr>
          <w:rFonts w:ascii="Arial" w:hAnsi="Arial" w:cs="Arial"/>
          <w:sz w:val="20"/>
          <w:szCs w:val="20"/>
        </w:rPr>
      </w:pPr>
      <w:r>
        <w:rPr>
          <w:rFonts w:cs="Arial" w:ascii="Arial" w:hAnsi="Arial"/>
          <w:sz w:val="20"/>
          <w:szCs w:val="20"/>
        </w:rPr>
        <w:t>14.4.2 tenham praticado atos ilícitos visando a frustrar os objetivos da licitação;</w:t>
      </w:r>
    </w:p>
    <w:p>
      <w:pPr>
        <w:pStyle w:val="Normal"/>
        <w:numPr>
          <w:ilvl w:val="0"/>
          <w:numId w:val="0"/>
        </w:numPr>
        <w:spacing w:lineRule="auto" w:line="276" w:before="240" w:after="120"/>
        <w:ind w:left="2489" w:right="-17" w:hanging="0"/>
        <w:jc w:val="both"/>
        <w:rPr>
          <w:rFonts w:ascii="Arial" w:hAnsi="Arial" w:cs="Arial"/>
          <w:sz w:val="20"/>
          <w:szCs w:val="20"/>
        </w:rPr>
      </w:pPr>
      <w:r>
        <w:rPr>
          <w:rFonts w:cs="Arial" w:ascii="Arial" w:hAnsi="Arial"/>
          <w:sz w:val="20"/>
          <w:szCs w:val="20"/>
        </w:rPr>
        <w:t>14.4.3 demonstrem não possuir idoneidade para contratar com a Administração em virtude de atos ilícitos praticados.</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14.5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widowControl/>
        <w:numPr>
          <w:ilvl w:val="0"/>
          <w:numId w:val="0"/>
        </w:numPr>
        <w:suppressAutoHyphens w:val="true"/>
        <w:spacing w:lineRule="auto" w:line="276" w:before="120" w:after="120"/>
        <w:ind w:left="2148" w:right="0" w:hanging="0"/>
        <w:jc w:val="both"/>
        <w:rPr>
          <w:rFonts w:ascii="Arial" w:hAnsi="Arial"/>
          <w:sz w:val="20"/>
          <w:szCs w:val="20"/>
          <w:highlight w:val="yellow"/>
        </w:rPr>
      </w:pPr>
      <w:r>
        <w:rPr>
          <w:rFonts w:ascii="Arial" w:hAnsi="Arial"/>
          <w:sz w:val="20"/>
          <w:szCs w:val="20"/>
          <w:highlight w:val="yellow"/>
        </w:rPr>
        <w:t>14.5.1 Não correrão os prazos processuais em desfavor da CONTRATADA em processo administrativo para aplicação das sanções deste item enquanto perdurar o estado de calamidade de que trata o Decreto Legislativo nº 6, de 2020, nos termos do art. 6º-C da Lei nº 13.979/20.</w:t>
      </w:r>
    </w:p>
    <w:p>
      <w:pPr>
        <w:pStyle w:val="Normal"/>
        <w:widowControl/>
        <w:numPr>
          <w:ilvl w:val="0"/>
          <w:numId w:val="0"/>
        </w:numPr>
        <w:bidi w:val="0"/>
        <w:spacing w:lineRule="auto" w:line="276" w:before="120" w:after="120"/>
        <w:ind w:left="2686" w:right="-57" w:hanging="0"/>
        <w:jc w:val="both"/>
        <w:rPr>
          <w:rFonts w:ascii="Arial" w:hAnsi="Arial"/>
          <w:sz w:val="20"/>
          <w:szCs w:val="20"/>
        </w:rPr>
      </w:pPr>
      <w:r>
        <w:rPr>
          <w:rFonts w:ascii="Arial" w:hAnsi="Arial"/>
          <w:sz w:val="20"/>
          <w:szCs w:val="20"/>
        </w:rPr>
        <w:t>14.6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widowControl/>
        <w:numPr>
          <w:ilvl w:val="0"/>
          <w:numId w:val="0"/>
        </w:numPr>
        <w:bidi w:val="0"/>
        <w:spacing w:lineRule="auto" w:line="276" w:before="120" w:after="120"/>
        <w:ind w:left="2686" w:right="-57" w:hanging="0"/>
        <w:jc w:val="both"/>
        <w:rPr/>
      </w:pPr>
      <w:r>
        <w:rPr>
          <w:rStyle w:val="Fontepargpadro"/>
          <w:rFonts w:ascii="Arial" w:hAnsi="Arial"/>
          <w:sz w:val="20"/>
          <w:szCs w:val="20"/>
        </w:rPr>
        <w:t xml:space="preserve">14.6.1 Caso a Contratante determine, a multa </w:t>
      </w:r>
      <w:r>
        <w:rPr>
          <w:rStyle w:val="Fontepargpadro"/>
          <w:rFonts w:ascii="Arial" w:hAnsi="Arial"/>
          <w:color w:val="000000"/>
          <w:sz w:val="20"/>
          <w:szCs w:val="20"/>
        </w:rPr>
        <w:t>deverá ser recolhida no prazo máximo de 07 (sete) dias, a contar da data do recebimento da comunicação enviada pela autoridade competente.</w:t>
      </w:r>
    </w:p>
    <w:p>
      <w:pPr>
        <w:pStyle w:val="Normal"/>
        <w:widowControl/>
        <w:numPr>
          <w:ilvl w:val="0"/>
          <w:numId w:val="0"/>
        </w:numPr>
        <w:bidi w:val="0"/>
        <w:spacing w:lineRule="auto" w:line="276" w:before="120" w:after="120"/>
        <w:ind w:left="2945" w:right="-57" w:hanging="0"/>
        <w:jc w:val="both"/>
        <w:rPr>
          <w:rFonts w:ascii="Arial" w:hAnsi="Arial" w:cs="Arial"/>
          <w:sz w:val="20"/>
          <w:szCs w:val="20"/>
        </w:rPr>
      </w:pPr>
      <w:r>
        <w:rPr>
          <w:rFonts w:cs="Arial" w:ascii="Arial" w:hAnsi="Arial"/>
          <w:sz w:val="20"/>
          <w:szCs w:val="20"/>
        </w:rPr>
        <w:t>14.7 Caso o valor da multa não seja suficiente para cobrir os prejuízos causados pela conduta do licitante, a União ou Entidade poderá cobrar o valor remanescente judicialmente, conforme artigo 419 do Código Civil.</w:t>
      </w:r>
    </w:p>
    <w:p>
      <w:pPr>
        <w:pStyle w:val="Normal"/>
        <w:widowControl/>
        <w:numPr>
          <w:ilvl w:val="0"/>
          <w:numId w:val="0"/>
        </w:numPr>
        <w:bidi w:val="0"/>
        <w:spacing w:lineRule="auto" w:line="276" w:before="120" w:after="120"/>
        <w:ind w:left="2945" w:right="-57" w:hanging="0"/>
        <w:jc w:val="both"/>
        <w:rPr>
          <w:rFonts w:ascii="Arial" w:hAnsi="Arial"/>
          <w:sz w:val="20"/>
          <w:szCs w:val="20"/>
        </w:rPr>
      </w:pPr>
      <w:r>
        <w:rPr>
          <w:rFonts w:ascii="Arial" w:hAnsi="Arial"/>
          <w:sz w:val="20"/>
          <w:szCs w:val="20"/>
        </w:rPr>
        <w:t>14.8 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0"/>
          <w:numId w:val="0"/>
        </w:numPr>
        <w:ind w:left="360" w:hanging="0"/>
        <w:rPr>
          <w:rFonts w:ascii="Arial" w:hAnsi="Arial" w:cs="Arial"/>
          <w:sz w:val="20"/>
          <w:szCs w:val="20"/>
        </w:rPr>
      </w:pPr>
      <w:r>
        <w:rPr>
          <w:rFonts w:cs="Arial" w:ascii="Arial" w:hAnsi="Arial"/>
          <w:sz w:val="20"/>
          <w:szCs w:val="20"/>
        </w:rPr>
        <w:t>14.9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ivel2"/>
        <w:numPr>
          <w:ilvl w:val="0"/>
          <w:numId w:val="0"/>
        </w:numPr>
        <w:ind w:left="999" w:hanging="0"/>
        <w:rPr>
          <w:rFonts w:ascii="Arial" w:hAnsi="Arial" w:cs="Arial"/>
          <w:sz w:val="20"/>
          <w:szCs w:val="20"/>
        </w:rPr>
      </w:pPr>
      <w:r>
        <w:rPr>
          <w:rFonts w:cs="Arial" w:ascii="Arial" w:hAnsi="Arial"/>
          <w:sz w:val="20"/>
          <w:szCs w:val="20"/>
        </w:rPr>
        <w:t>14.10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0"/>
          <w:numId w:val="0"/>
        </w:numPr>
        <w:ind w:left="999" w:hanging="0"/>
        <w:rPr>
          <w:rFonts w:ascii="Arial" w:hAnsi="Arial" w:cs="Arial"/>
          <w:sz w:val="20"/>
          <w:szCs w:val="20"/>
        </w:rPr>
      </w:pPr>
      <w:r>
        <w:rPr>
          <w:rFonts w:cs="Arial" w:ascii="Arial" w:hAnsi="Arial"/>
          <w:sz w:val="20"/>
          <w:szCs w:val="20"/>
        </w:rPr>
        <w:t>14.11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numPr>
          <w:ilvl w:val="0"/>
          <w:numId w:val="0"/>
        </w:numPr>
        <w:spacing w:lineRule="auto" w:line="276" w:before="120" w:after="120"/>
        <w:ind w:left="1424" w:right="0" w:hanging="0"/>
        <w:jc w:val="both"/>
        <w:rPr>
          <w:rFonts w:ascii="Arial" w:hAnsi="Arial" w:cs="Arial"/>
          <w:sz w:val="20"/>
          <w:szCs w:val="20"/>
        </w:rPr>
      </w:pPr>
      <w:r>
        <w:rPr>
          <w:rFonts w:cs="Arial" w:ascii="Arial" w:hAnsi="Arial"/>
          <w:sz w:val="20"/>
          <w:szCs w:val="20"/>
        </w:rPr>
        <w:t>14.12 As penalidades serão obrigatoriamente registradas no SICAF.</w:t>
      </w:r>
    </w:p>
    <w:p>
      <w:pPr>
        <w:pStyle w:val="Nivel1"/>
        <w:spacing w:before="120" w:after="0"/>
        <w:ind w:left="357" w:right="-30" w:hanging="0"/>
        <w:rPr>
          <w:rFonts w:ascii="Arial" w:hAnsi="Arial"/>
          <w:bCs/>
          <w:sz w:val="20"/>
          <w:szCs w:val="20"/>
        </w:rPr>
      </w:pPr>
      <w:r>
        <w:rPr>
          <w:bCs/>
          <w:sz w:val="20"/>
          <w:szCs w:val="20"/>
        </w:rPr>
      </w:r>
    </w:p>
    <w:p>
      <w:pPr>
        <w:pStyle w:val="Nivel1"/>
        <w:numPr>
          <w:ilvl w:val="0"/>
          <w:numId w:val="0"/>
        </w:numPr>
        <w:spacing w:before="0" w:after="0"/>
        <w:ind w:left="360" w:right="-30" w:hanging="0"/>
        <w:rPr/>
      </w:pPr>
      <w:r>
        <w:rPr>
          <w:rStyle w:val="Fontepargpadro"/>
          <w:bCs/>
          <w:sz w:val="20"/>
          <w:szCs w:val="20"/>
        </w:rPr>
        <w:t xml:space="preserve">15. ESTIMATIVA DE </w:t>
      </w:r>
      <w:r>
        <w:rPr>
          <w:sz w:val="20"/>
          <w:szCs w:val="20"/>
        </w:rPr>
        <w:t>PREÇOS</w:t>
      </w:r>
      <w:r>
        <w:rPr>
          <w:rStyle w:val="Fontepargpadro"/>
          <w:bCs/>
          <w:sz w:val="20"/>
          <w:szCs w:val="20"/>
        </w:rPr>
        <w:t xml:space="preserve"> E PREÇOS REFERENCIAIS.</w:t>
      </w:r>
    </w:p>
    <w:p>
      <w:pPr>
        <w:pStyle w:val="Nivel1"/>
        <w:spacing w:before="0" w:after="0"/>
        <w:ind w:left="0" w:right="-30" w:hanging="0"/>
        <w:rPr>
          <w:rFonts w:ascii="Arial" w:hAnsi="Arial"/>
          <w:i/>
          <w:i/>
          <w:color w:val="FF0000"/>
          <w:sz w:val="20"/>
          <w:szCs w:val="20"/>
          <w:u w:val="single"/>
        </w:rPr>
      </w:pPr>
      <w:r>
        <w:rPr>
          <w:i/>
          <w:color w:val="FF0000"/>
          <w:sz w:val="20"/>
          <w:szCs w:val="20"/>
          <w:u w:val="single"/>
        </w:rPr>
      </w:r>
    </w:p>
    <w:p>
      <w:pPr>
        <w:pStyle w:val="Nivel1"/>
        <w:spacing w:before="0" w:after="0"/>
        <w:ind w:left="716" w:right="-30" w:hanging="432"/>
        <w:rPr/>
      </w:pPr>
      <w:r>
        <w:rPr>
          <w:rStyle w:val="Fontepargpadro"/>
          <w:b w:val="false"/>
          <w:i w:val="false"/>
          <w:iCs w:val="false"/>
          <w:color w:val="000000"/>
          <w:sz w:val="20"/>
          <w:szCs w:val="20"/>
        </w:rPr>
        <w:t xml:space="preserve">15.1 O custo estimado da contratação é de </w:t>
      </w:r>
      <w:r>
        <w:rPr>
          <w:rStyle w:val="Fontepargpadro"/>
          <w:b/>
          <w:bCs/>
          <w:i w:val="false"/>
          <w:iCs w:val="false"/>
          <w:color w:val="000000"/>
          <w:sz w:val="20"/>
          <w:szCs w:val="20"/>
        </w:rPr>
        <w:t xml:space="preserve">R$ </w:t>
      </w:r>
      <w:r>
        <w:rPr>
          <w:rStyle w:val="Fontepargpadro"/>
          <w:rFonts w:cs="Arial" w:ascii="Arial" w:hAnsi="Arial"/>
          <w:b/>
          <w:bCs/>
          <w:i w:val="false"/>
          <w:iCs w:val="false"/>
          <w:color w:val="000000"/>
          <w:sz w:val="20"/>
          <w:szCs w:val="20"/>
        </w:rPr>
        <w:t>294.170,33</w:t>
      </w:r>
      <w:r>
        <w:rPr>
          <w:rStyle w:val="Fontepargpadro"/>
          <w:rFonts w:cs="Arial"/>
          <w:b/>
          <w:bCs/>
          <w:i w:val="false"/>
          <w:iCs w:val="false"/>
          <w:color w:val="000000"/>
          <w:sz w:val="20"/>
          <w:szCs w:val="20"/>
        </w:rPr>
        <w:t>(</w:t>
      </w:r>
      <w:r>
        <w:rPr>
          <w:rStyle w:val="Fontepargpadro"/>
          <w:rFonts w:cs="Arial"/>
          <w:b/>
          <w:bCs/>
          <w:i w:val="false"/>
          <w:iCs w:val="false"/>
          <w:color w:val="000000"/>
          <w:sz w:val="20"/>
          <w:szCs w:val="20"/>
        </w:rPr>
        <w:t>du</w:t>
      </w:r>
      <w:r>
        <w:rPr>
          <w:rStyle w:val="Fontepargpadro"/>
          <w:rFonts w:cs="Arial"/>
          <w:b/>
          <w:bCs/>
          <w:i w:val="false"/>
          <w:iCs w:val="false"/>
          <w:color w:val="000000"/>
          <w:sz w:val="20"/>
          <w:szCs w:val="20"/>
        </w:rPr>
        <w:t xml:space="preserve">zentos e </w:t>
      </w:r>
      <w:r>
        <w:rPr>
          <w:rStyle w:val="Fontepargpadro"/>
          <w:rFonts w:cs="Arial"/>
          <w:b/>
          <w:bCs/>
          <w:i w:val="false"/>
          <w:iCs w:val="false"/>
          <w:color w:val="000000"/>
          <w:sz w:val="20"/>
          <w:szCs w:val="20"/>
        </w:rPr>
        <w:t>nov</w:t>
      </w:r>
      <w:r>
        <w:rPr>
          <w:rStyle w:val="Fontepargpadro"/>
          <w:rFonts w:cs="Arial"/>
          <w:b/>
          <w:bCs/>
          <w:i w:val="false"/>
          <w:iCs w:val="false"/>
          <w:color w:val="000000"/>
          <w:sz w:val="20"/>
          <w:szCs w:val="20"/>
        </w:rPr>
        <w:t xml:space="preserve">enta e </w:t>
      </w:r>
      <w:r>
        <w:rPr>
          <w:rStyle w:val="Fontepargpadro"/>
          <w:rFonts w:cs="Arial"/>
          <w:b/>
          <w:bCs/>
          <w:i w:val="false"/>
          <w:iCs w:val="false"/>
          <w:color w:val="000000"/>
          <w:sz w:val="20"/>
          <w:szCs w:val="20"/>
        </w:rPr>
        <w:t>quatro</w:t>
      </w:r>
      <w:r>
        <w:rPr>
          <w:rStyle w:val="Fontepargpadro"/>
          <w:rFonts w:cs="Arial"/>
          <w:b/>
          <w:bCs/>
          <w:i w:val="false"/>
          <w:iCs w:val="false"/>
          <w:color w:val="000000"/>
          <w:sz w:val="20"/>
          <w:szCs w:val="20"/>
        </w:rPr>
        <w:t xml:space="preserve"> mil, </w:t>
      </w:r>
      <w:r>
        <w:rPr>
          <w:rStyle w:val="Fontepargpadro"/>
          <w:rFonts w:cs="Arial"/>
          <w:b/>
          <w:bCs/>
          <w:i w:val="false"/>
          <w:iCs w:val="false"/>
          <w:color w:val="000000"/>
          <w:sz w:val="20"/>
          <w:szCs w:val="20"/>
        </w:rPr>
        <w:t xml:space="preserve">cento e setenta </w:t>
      </w:r>
      <w:r>
        <w:rPr>
          <w:rStyle w:val="Fontepargpadro"/>
          <w:rFonts w:cs="Arial"/>
          <w:b/>
          <w:bCs/>
          <w:i w:val="false"/>
          <w:iCs w:val="false"/>
          <w:color w:val="000000"/>
          <w:sz w:val="20"/>
          <w:szCs w:val="20"/>
        </w:rPr>
        <w:t>reais e trinta e três centavos)</w:t>
      </w:r>
    </w:p>
    <w:p>
      <w:pPr>
        <w:pStyle w:val="Normal"/>
        <w:rPr>
          <w:rFonts w:ascii="Arial" w:hAnsi="Arial"/>
          <w:sz w:val="20"/>
          <w:szCs w:val="20"/>
        </w:rPr>
      </w:pPr>
      <w:r>
        <w:rPr>
          <w:rFonts w:ascii="Arial" w:hAnsi="Arial"/>
          <w:sz w:val="20"/>
          <w:szCs w:val="20"/>
        </w:rPr>
      </w:r>
    </w:p>
    <w:p>
      <w:pPr>
        <w:pStyle w:val="Nivel1"/>
        <w:numPr>
          <w:ilvl w:val="0"/>
          <w:numId w:val="0"/>
        </w:numPr>
        <w:spacing w:before="120" w:after="0"/>
        <w:ind w:left="360" w:right="-30" w:hanging="0"/>
        <w:rPr>
          <w:rFonts w:ascii="Arial" w:hAnsi="Arial"/>
          <w:sz w:val="20"/>
          <w:szCs w:val="20"/>
        </w:rPr>
      </w:pPr>
      <w:r>
        <w:rPr>
          <w:sz w:val="20"/>
          <w:szCs w:val="20"/>
        </w:rPr>
        <w:t>16. DOS RECURSOS ORÇAMENTÁRIOS.</w:t>
      </w:r>
    </w:p>
    <w:p>
      <w:pPr>
        <w:pStyle w:val="Normal"/>
        <w:widowControl/>
        <w:numPr>
          <w:ilvl w:val="0"/>
          <w:numId w:val="0"/>
        </w:numPr>
        <w:suppressAutoHyphens w:val="true"/>
        <w:spacing w:lineRule="auto" w:line="276" w:before="120" w:after="120"/>
        <w:ind w:left="1396" w:right="0" w:hanging="0"/>
        <w:jc w:val="both"/>
        <w:rPr>
          <w:rFonts w:ascii="Arial" w:hAnsi="Arial" w:cs="Arial"/>
          <w:sz w:val="20"/>
          <w:szCs w:val="20"/>
        </w:rPr>
      </w:pPr>
      <w:r>
        <w:rPr>
          <w:rFonts w:cs="Arial" w:ascii="Arial" w:hAnsi="Arial"/>
          <w:sz w:val="20"/>
          <w:szCs w:val="20"/>
        </w:rPr>
        <w:t>16.1 As despesas para atender a esta licitação estão programadas em dotação orçamentária própria, prevista no orçamento da União para o exercício de 2020, na classificação abaixo:</w:t>
      </w:r>
    </w:p>
    <w:p>
      <w:pPr>
        <w:pStyle w:val="Nivel01"/>
        <w:tabs>
          <w:tab w:val="left" w:pos="567" w:leader="none"/>
        </w:tabs>
        <w:spacing w:before="183" w:after="0"/>
        <w:ind w:left="1304" w:right="0" w:hanging="360"/>
        <w:rPr/>
      </w:pPr>
      <w:r>
        <w:rPr>
          <w:rStyle w:val="Fontepargpadro"/>
          <w:rFonts w:eastAsia="MS Mincho" w:cs="Arial" w:ascii="Arial" w:hAnsi="Arial"/>
          <w:bCs w:val="false"/>
          <w:color w:val="000000"/>
        </w:rPr>
        <w:t>16.1.1 Gestão/Unidade: 26430/158149</w:t>
      </w:r>
    </w:p>
    <w:p>
      <w:pPr>
        <w:pStyle w:val="Nivel01"/>
        <w:tabs>
          <w:tab w:val="left" w:pos="567" w:leader="none"/>
        </w:tabs>
        <w:spacing w:before="183" w:after="0"/>
        <w:ind w:left="1304" w:right="0" w:hanging="360"/>
        <w:rPr/>
      </w:pPr>
      <w:r>
        <w:rPr>
          <w:rStyle w:val="Fontepargpadro"/>
          <w:rFonts w:eastAsia="MS Mincho" w:cs="Arial" w:ascii="Arial" w:hAnsi="Arial"/>
          <w:bCs w:val="false"/>
          <w:color w:val="000000"/>
        </w:rPr>
        <w:t xml:space="preserve"> </w:t>
      </w:r>
      <w:r>
        <w:rPr>
          <w:rStyle w:val="Fontepargpadro"/>
          <w:rFonts w:eastAsia="MS Mincho" w:cs="Arial" w:ascii="Arial" w:hAnsi="Arial"/>
          <w:bCs w:val="false"/>
          <w:color w:val="000000"/>
        </w:rPr>
        <w:t xml:space="preserve">16.1.2 Fonte: 0100915082 </w:t>
      </w:r>
      <w:r>
        <w:rPr>
          <w:rStyle w:val="Fontepargpadro"/>
          <w:rFonts w:eastAsia="MS Mincho" w:cs="Arial" w:ascii="Arial" w:hAnsi="Arial"/>
          <w:bCs w:val="false"/>
          <w:color w:val="000000"/>
        </w:rPr>
        <w:t>e  8100000000</w:t>
      </w:r>
    </w:p>
    <w:p>
      <w:pPr>
        <w:pStyle w:val="Nivel01"/>
        <w:tabs>
          <w:tab w:val="left" w:pos="567" w:leader="none"/>
        </w:tabs>
        <w:spacing w:before="183" w:after="0"/>
        <w:ind w:left="1304" w:right="0" w:hanging="360"/>
        <w:rPr/>
      </w:pPr>
      <w:r>
        <w:rPr>
          <w:rStyle w:val="Fontepargpadro"/>
          <w:rFonts w:eastAsia="MS Mincho" w:cs="Arial" w:ascii="Arial" w:hAnsi="Arial"/>
          <w:bCs w:val="false"/>
          <w:color w:val="000000"/>
        </w:rPr>
        <w:t xml:space="preserve">16.1.3  Programa de Trabalho: 186290 </w:t>
      </w:r>
      <w:r>
        <w:rPr>
          <w:rStyle w:val="Fontepargpadro"/>
          <w:rFonts w:eastAsia="MS Mincho" w:cs="Arial" w:ascii="Arial" w:hAnsi="Arial"/>
          <w:bCs w:val="false"/>
          <w:color w:val="000000"/>
        </w:rPr>
        <w:t xml:space="preserve">e </w:t>
      </w:r>
      <w:r>
        <w:rPr>
          <w:rStyle w:val="Fontepargpadro"/>
          <w:rFonts w:eastAsia="MS Mincho" w:cs="Arial" w:ascii="Arial" w:hAnsi="Arial"/>
          <w:b/>
          <w:bCs/>
          <w:color w:val="000000"/>
        </w:rPr>
        <w:t>171083</w:t>
      </w:r>
    </w:p>
    <w:p>
      <w:pPr>
        <w:pStyle w:val="Nivel01"/>
        <w:tabs>
          <w:tab w:val="left" w:pos="567" w:leader="none"/>
        </w:tabs>
        <w:spacing w:before="183" w:after="0"/>
        <w:ind w:left="1304" w:right="0" w:hanging="360"/>
        <w:rPr/>
      </w:pPr>
      <w:r>
        <w:rPr>
          <w:rStyle w:val="Fontepargpadro"/>
          <w:rFonts w:eastAsia="MS Mincho" w:cs="Arial" w:ascii="Arial" w:hAnsi="Arial"/>
          <w:bCs w:val="false"/>
          <w:color w:val="000000"/>
          <w:sz w:val="20"/>
          <w:szCs w:val="20"/>
          <w:highlight w:val="yellow"/>
        </w:rPr>
        <w:t xml:space="preserve">16.1.4 Elemento de Despesa: 339030 </w:t>
      </w:r>
      <w:r>
        <w:rPr>
          <w:rStyle w:val="Fontepargpadro"/>
          <w:rFonts w:eastAsia="MS Mincho" w:cs="Arial" w:ascii="Arial" w:hAnsi="Arial"/>
          <w:bCs w:val="false"/>
          <w:color w:val="000000"/>
          <w:sz w:val="20"/>
          <w:szCs w:val="20"/>
          <w:highlight w:val="yellow"/>
        </w:rPr>
        <w:t>e 339000</w:t>
      </w:r>
    </w:p>
    <w:p>
      <w:pPr>
        <w:pStyle w:val="Normal"/>
        <w:spacing w:lineRule="auto" w:line="276" w:before="6" w:after="6"/>
        <w:ind w:left="0" w:right="0" w:hanging="0"/>
        <w:jc w:val="both"/>
        <w:rPr>
          <w:rFonts w:ascii="Arial" w:hAnsi="Arial" w:cs="Arial"/>
          <w:b/>
          <w:b/>
          <w:bCs/>
          <w:sz w:val="20"/>
          <w:szCs w:val="20"/>
        </w:rPr>
      </w:pPr>
      <w:r>
        <w:rPr>
          <w:rFonts w:cs="Arial" w:ascii="Arial" w:hAnsi="Arial"/>
          <w:b/>
          <w:bCs/>
          <w:sz w:val="20"/>
          <w:szCs w:val="20"/>
        </w:rPr>
      </w:r>
    </w:p>
    <w:p>
      <w:pPr>
        <w:pStyle w:val="Normal"/>
        <w:spacing w:lineRule="auto" w:line="276" w:before="6" w:after="6"/>
        <w:ind w:left="0" w:right="0" w:hanging="0"/>
        <w:jc w:val="both"/>
        <w:rPr>
          <w:rFonts w:ascii="Arial" w:hAnsi="Arial" w:cs="Arial"/>
          <w:b/>
          <w:b/>
          <w:bCs/>
          <w:sz w:val="20"/>
          <w:szCs w:val="20"/>
        </w:rPr>
      </w:pPr>
      <w:r>
        <w:rPr>
          <w:rFonts w:cs="Arial" w:ascii="Arial" w:hAnsi="Arial"/>
          <w:b/>
          <w:bCs/>
          <w:sz w:val="20"/>
          <w:szCs w:val="20"/>
        </w:rPr>
      </w:r>
    </w:p>
    <w:p>
      <w:pPr>
        <w:pStyle w:val="Normal"/>
        <w:spacing w:lineRule="auto" w:line="276" w:before="6" w:after="6"/>
        <w:ind w:left="0" w:right="0" w:hanging="0"/>
        <w:jc w:val="both"/>
        <w:rPr>
          <w:rFonts w:ascii="Arial" w:hAnsi="Arial" w:cs="Arial"/>
          <w:b/>
          <w:b/>
          <w:bCs/>
          <w:sz w:val="20"/>
          <w:szCs w:val="20"/>
        </w:rPr>
      </w:pPr>
      <w:r>
        <w:rPr>
          <w:rFonts w:cs="Arial" w:ascii="Arial" w:hAnsi="Arial"/>
          <w:b/>
          <w:bCs/>
          <w:sz w:val="20"/>
          <w:szCs w:val="20"/>
        </w:rPr>
        <w:t>17. ANEXOS</w:t>
      </w:r>
    </w:p>
    <w:p>
      <w:pPr>
        <w:pStyle w:val="Normal"/>
        <w:spacing w:lineRule="auto" w:line="276" w:before="120" w:after="120"/>
        <w:ind w:left="425" w:right="0" w:hanging="0"/>
        <w:jc w:val="both"/>
        <w:rPr/>
      </w:pPr>
      <w:r>
        <w:rPr>
          <w:rStyle w:val="Fontepargpadro"/>
          <w:rFonts w:cs="Arial" w:ascii="Arial" w:hAnsi="Arial"/>
          <w:sz w:val="20"/>
          <w:szCs w:val="20"/>
        </w:rPr>
        <w:t xml:space="preserve">17.1 </w:t>
      </w:r>
      <w:r>
        <w:rPr>
          <w:rStyle w:val="Fontepargpadro"/>
          <w:rFonts w:cs="Arial" w:ascii="Arial" w:hAnsi="Arial"/>
          <w:color w:val="000000"/>
          <w:sz w:val="20"/>
          <w:szCs w:val="20"/>
        </w:rPr>
        <w:t>Integram esse Termo de Referência, para todos os fins e efeitos, os seguintes anexos:</w:t>
      </w:r>
    </w:p>
    <w:p>
      <w:pPr>
        <w:pStyle w:val="Normal"/>
        <w:spacing w:lineRule="auto" w:line="276" w:before="120" w:after="120"/>
        <w:ind w:left="1416" w:right="0" w:hanging="0"/>
        <w:jc w:val="both"/>
        <w:rPr/>
      </w:pPr>
      <w:r>
        <w:rPr>
          <w:rStyle w:val="Fontepargpadro"/>
          <w:rFonts w:cs="Arial" w:ascii="Arial" w:hAnsi="Arial"/>
          <w:color w:val="000000"/>
          <w:sz w:val="20"/>
          <w:szCs w:val="20"/>
        </w:rPr>
        <w:t xml:space="preserve">17.1.1 </w:t>
      </w:r>
      <w:r>
        <w:rPr>
          <w:rStyle w:val="Fontepargpadro"/>
          <w:rFonts w:cs="Arial" w:ascii="Arial" w:hAnsi="Arial"/>
          <w:color w:val="000000"/>
          <w:sz w:val="20"/>
          <w:szCs w:val="20"/>
          <w:lang w:val="pt-PT"/>
        </w:rPr>
        <w:t>ANEXO I-A: Modelo de Declaração de Sustentabilidade Ambiental;</w:t>
      </w:r>
    </w:p>
    <w:p>
      <w:pPr>
        <w:pStyle w:val="Normal"/>
        <w:spacing w:lineRule="auto" w:line="276" w:before="120" w:after="120"/>
        <w:ind w:left="1416" w:right="0" w:hanging="0"/>
        <w:jc w:val="both"/>
        <w:rPr/>
      </w:pPr>
      <w:r>
        <w:rPr>
          <w:rStyle w:val="Fontepargpadro"/>
          <w:rFonts w:cs="Arial" w:ascii="Arial" w:hAnsi="Arial"/>
          <w:color w:val="000000"/>
          <w:sz w:val="20"/>
          <w:szCs w:val="20"/>
          <w:lang w:val="pt-PT"/>
        </w:rPr>
        <w:t>17.1.2 ANEXO I-B: Planilha de Preço Médio Máximo Aceitável pela Administração</w:t>
      </w:r>
    </w:p>
    <w:p>
      <w:pPr>
        <w:pStyle w:val="Normal"/>
        <w:spacing w:lineRule="auto" w:line="276" w:before="120" w:after="120"/>
        <w:ind w:left="425" w:right="0" w:hanging="0"/>
        <w:jc w:val="both"/>
        <w:rPr>
          <w:rFonts w:ascii="Arial" w:hAnsi="Arial" w:cs="Arial"/>
          <w:i/>
          <w:i/>
          <w:sz w:val="20"/>
          <w:szCs w:val="20"/>
        </w:rPr>
      </w:pPr>
      <w:r>
        <w:rPr>
          <w:rFonts w:cs="Arial" w:ascii="Arial" w:hAnsi="Arial"/>
          <w:i/>
          <w:sz w:val="20"/>
          <w:szCs w:val="20"/>
        </w:rPr>
      </w:r>
    </w:p>
    <w:p>
      <w:pPr>
        <w:pStyle w:val="Normal"/>
        <w:spacing w:before="0" w:after="360"/>
        <w:ind w:left="360" w:right="0" w:hanging="0"/>
        <w:rPr>
          <w:rStyle w:val="Fontepargpadro"/>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before="0" w:after="360"/>
        <w:ind w:right="0" w:hanging="0"/>
        <w:rPr/>
      </w:pPr>
      <w:r>
        <w:rPr>
          <w:rStyle w:val="Fontepargpadro"/>
          <w:rFonts w:cs="Arial" w:ascii="Arial" w:hAnsi="Arial"/>
          <w:b w:val="false"/>
          <w:bCs w:val="false"/>
          <w:color w:val="000000"/>
          <w:sz w:val="20"/>
          <w:szCs w:val="20"/>
        </w:rPr>
        <w:t>Petrolina-PE, __________ de _______________de 2020</w:t>
      </w:r>
    </w:p>
    <w:p>
      <w:pPr>
        <w:pStyle w:val="Normal"/>
        <w:spacing w:before="0" w:after="360"/>
        <w:ind w:left="360" w:right="0" w:hanging="0"/>
        <w:rPr>
          <w:rFonts w:ascii="Arial" w:hAnsi="Arial" w:cs="Arial"/>
          <w:sz w:val="20"/>
          <w:szCs w:val="20"/>
        </w:rPr>
      </w:pPr>
      <w:r>
        <w:rPr>
          <w:rFonts w:cs="Arial" w:ascii="Arial" w:hAnsi="Arial"/>
          <w:sz w:val="20"/>
          <w:szCs w:val="20"/>
        </w:rPr>
      </w:r>
    </w:p>
    <w:p>
      <w:pPr>
        <w:pStyle w:val="Normal"/>
        <w:spacing w:before="0" w:after="132"/>
        <w:ind w:left="360" w:right="0" w:hanging="0"/>
        <w:jc w:val="center"/>
        <w:rPr>
          <w:rFonts w:ascii="Arial" w:hAnsi="Arial" w:cs="Arial"/>
          <w:sz w:val="20"/>
          <w:szCs w:val="20"/>
        </w:rPr>
      </w:pPr>
      <w:r>
        <w:rPr>
          <w:rFonts w:cs="Arial" w:ascii="Arial" w:hAnsi="Arial"/>
          <w:sz w:val="20"/>
          <w:szCs w:val="20"/>
        </w:rPr>
      </w:r>
    </w:p>
    <w:p>
      <w:pPr>
        <w:pStyle w:val="Normal"/>
        <w:spacing w:before="0" w:after="132"/>
        <w:ind w:left="360" w:right="0" w:hanging="0"/>
        <w:jc w:val="center"/>
        <w:rPr/>
      </w:pPr>
      <w:r>
        <w:rPr>
          <w:rFonts w:cs="Arial" w:ascii="Arial" w:hAnsi="Arial"/>
          <w:sz w:val="20"/>
          <w:szCs w:val="20"/>
        </w:rPr>
        <w:t>____________________________</w:t>
      </w:r>
    </w:p>
    <w:p>
      <w:pPr>
        <w:pStyle w:val="Normal"/>
        <w:ind w:left="360" w:right="0" w:hanging="0"/>
        <w:jc w:val="center"/>
        <w:rPr>
          <w:rFonts w:ascii="Arial" w:hAnsi="Arial" w:cs="Arial"/>
          <w:sz w:val="20"/>
          <w:szCs w:val="20"/>
        </w:rPr>
      </w:pPr>
      <w:r>
        <w:rPr>
          <w:rFonts w:cs="Arial" w:ascii="Arial" w:hAnsi="Arial"/>
          <w:sz w:val="20"/>
          <w:szCs w:val="20"/>
        </w:rPr>
        <w:t>Vitor Prates Lorenzo</w:t>
      </w:r>
    </w:p>
    <w:p>
      <w:pPr>
        <w:pStyle w:val="Normal"/>
        <w:ind w:left="360" w:right="0" w:hanging="0"/>
        <w:jc w:val="center"/>
        <w:rPr>
          <w:rFonts w:ascii="Arial" w:hAnsi="Arial" w:cs="Arial"/>
          <w:sz w:val="20"/>
          <w:szCs w:val="20"/>
        </w:rPr>
      </w:pPr>
      <w:r>
        <w:rPr>
          <w:rFonts w:cs="Arial" w:ascii="Arial" w:hAnsi="Arial"/>
          <w:sz w:val="20"/>
          <w:szCs w:val="20"/>
        </w:rPr>
        <w:t>Pró-Reitor de Extensão e Cultura</w:t>
      </w:r>
    </w:p>
    <w:p>
      <w:pPr>
        <w:pStyle w:val="Normal"/>
        <w:ind w:left="360" w:right="0" w:hanging="0"/>
        <w:jc w:val="center"/>
        <w:rPr>
          <w:rFonts w:ascii="Arial" w:hAnsi="Arial" w:cs="Arial"/>
          <w:sz w:val="20"/>
          <w:szCs w:val="20"/>
        </w:rPr>
      </w:pPr>
      <w:r>
        <w:rPr>
          <w:rFonts w:cs="Arial" w:ascii="Arial" w:hAnsi="Arial"/>
          <w:sz w:val="20"/>
          <w:szCs w:val="20"/>
        </w:rPr>
      </w:r>
    </w:p>
    <w:p>
      <w:pPr>
        <w:pStyle w:val="Normal"/>
        <w:ind w:left="360" w:right="0" w:hanging="0"/>
        <w:jc w:val="center"/>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APROVO</w:t>
      </w:r>
    </w:p>
    <w:p>
      <w:pPr>
        <w:pStyle w:val="Normal"/>
        <w:rPr>
          <w:rFonts w:ascii="Arial" w:hAnsi="Arial" w:cs="Arial"/>
          <w:sz w:val="20"/>
          <w:szCs w:val="20"/>
        </w:rPr>
      </w:pPr>
      <w:r>
        <w:rPr>
          <w:rFonts w:cs="Arial" w:ascii="Arial" w:hAnsi="Arial"/>
          <w:sz w:val="20"/>
          <w:szCs w:val="20"/>
        </w:rPr>
        <w:t xml:space="preserve"> </w:t>
      </w:r>
    </w:p>
    <w:p>
      <w:pPr>
        <w:pStyle w:val="Normal"/>
        <w:spacing w:before="0" w:after="363"/>
        <w:ind w:left="363" w:right="0" w:hanging="0"/>
        <w:jc w:val="both"/>
        <w:rPr/>
      </w:pPr>
      <w:r>
        <w:rPr>
          <w:rStyle w:val="Fontepargpadro"/>
          <w:rFonts w:eastAsia="MS Gothic" w:cs="Arial" w:ascii="Arial" w:hAnsi="Arial"/>
          <w:bCs/>
          <w:iCs/>
          <w:sz w:val="20"/>
          <w:szCs w:val="20"/>
        </w:rPr>
        <w:t xml:space="preserve">O presente Termo de Referência nos moldes da nº 13.979/2020, cuja finalidade é subsidiar os licitantes de todas as informações necessárias à participação no certame para  </w:t>
      </w:r>
      <w:r>
        <w:rPr>
          <w:rStyle w:val="Fontepargpadro"/>
          <w:rFonts w:eastAsia="MS Gothic" w:cs="Arial" w:ascii="Arial" w:hAnsi="Arial"/>
          <w:b/>
          <w:bCs/>
          <w:color w:val="00000A"/>
          <w:sz w:val="20"/>
          <w:szCs w:val="20"/>
        </w:rPr>
        <w:t>Aquisição de insumos(materiais e equipamentos), para fins de enfrentamento da emergência de saúde pública de importância internacional decorrente do novo coronavírus, causador da COVID-19 para atender o Instituto Federal do Sertão pernambucano</w:t>
      </w:r>
      <w:r>
        <w:rPr>
          <w:rStyle w:val="Fontepargpadro"/>
          <w:rFonts w:eastAsia="MS Gothic" w:cs="Arial" w:ascii="Arial" w:hAnsi="Arial"/>
          <w:b/>
          <w:bCs/>
          <w:iCs/>
          <w:color w:val="FF3333"/>
          <w:sz w:val="20"/>
          <w:szCs w:val="20"/>
        </w:rPr>
        <w:t xml:space="preserve"> </w:t>
      </w:r>
      <w:r>
        <w:rPr>
          <w:rStyle w:val="Fontepargpadro"/>
          <w:rFonts w:eastAsia="MS Gothic" w:cs="Arial" w:ascii="Arial" w:hAnsi="Arial"/>
          <w:bCs/>
          <w:iCs/>
          <w:sz w:val="20"/>
          <w:szCs w:val="20"/>
        </w:rPr>
        <w:t>a partir da data de assinatura do contrato, estando presentes os elementos necessários à identificação do objeto, seu custo e todos os critérios para participação de forma clara e concisa.</w:t>
      </w:r>
    </w:p>
    <w:p>
      <w:pPr>
        <w:pStyle w:val="Normal"/>
        <w:spacing w:before="0" w:after="360"/>
        <w:rPr>
          <w:rStyle w:val="Fontepargpadro"/>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before="0" w:after="360"/>
        <w:rPr/>
      </w:pPr>
      <w:r>
        <w:rPr>
          <w:rStyle w:val="Fontepargpadro"/>
          <w:rFonts w:cs="Arial" w:ascii="Arial" w:hAnsi="Arial"/>
          <w:b w:val="false"/>
          <w:bCs w:val="false"/>
          <w:color w:val="000000"/>
          <w:sz w:val="20"/>
          <w:szCs w:val="20"/>
        </w:rPr>
        <w:t>Petrolina-PE, __________ de _______________de 2020</w:t>
      </w:r>
    </w:p>
    <w:p>
      <w:pPr>
        <w:pStyle w:val="Normal"/>
        <w:ind w:left="360" w:right="0" w:hanging="0"/>
        <w:jc w:val="center"/>
        <w:rPr>
          <w:rFonts w:ascii="Arial" w:hAnsi="Arial" w:cs="Arial"/>
          <w:sz w:val="20"/>
          <w:szCs w:val="20"/>
        </w:rPr>
      </w:pPr>
      <w:r>
        <w:rPr>
          <w:rFonts w:cs="Arial" w:ascii="Arial" w:hAnsi="Arial"/>
          <w:sz w:val="20"/>
          <w:szCs w:val="20"/>
        </w:rPr>
      </w:r>
    </w:p>
    <w:p>
      <w:pPr>
        <w:pStyle w:val="Normal"/>
        <w:ind w:left="360" w:right="0" w:hanging="0"/>
        <w:jc w:val="center"/>
        <w:rPr>
          <w:rFonts w:ascii="Arial" w:hAnsi="Arial" w:cs="Arial"/>
          <w:sz w:val="20"/>
          <w:szCs w:val="20"/>
        </w:rPr>
      </w:pPr>
      <w:r>
        <w:rPr>
          <w:rFonts w:cs="Arial" w:ascii="Arial" w:hAnsi="Arial"/>
          <w:sz w:val="20"/>
          <w:szCs w:val="20"/>
        </w:rPr>
      </w:r>
    </w:p>
    <w:p>
      <w:pPr>
        <w:pStyle w:val="Normal"/>
        <w:ind w:left="360" w:right="0" w:hanging="0"/>
        <w:jc w:val="center"/>
        <w:rPr>
          <w:rFonts w:ascii="Arial" w:hAnsi="Arial" w:cs="Arial"/>
          <w:sz w:val="20"/>
          <w:szCs w:val="20"/>
        </w:rPr>
      </w:pPr>
      <w:r>
        <w:rPr>
          <w:rFonts w:cs="Arial" w:ascii="Arial" w:hAnsi="Arial"/>
          <w:sz w:val="20"/>
          <w:szCs w:val="20"/>
        </w:rPr>
      </w:r>
    </w:p>
    <w:p>
      <w:pPr>
        <w:pStyle w:val="Normal"/>
        <w:ind w:right="0" w:hanging="0"/>
        <w:jc w:val="center"/>
        <w:rPr>
          <w:rFonts w:ascii="Arial" w:hAnsi="Arial" w:cs="Arial"/>
          <w:sz w:val="20"/>
          <w:szCs w:val="20"/>
        </w:rPr>
      </w:pPr>
      <w:r>
        <w:rPr>
          <w:rFonts w:cs="Arial" w:ascii="Arial" w:hAnsi="Arial"/>
          <w:sz w:val="20"/>
          <w:szCs w:val="20"/>
        </w:rPr>
      </w:r>
    </w:p>
    <w:p>
      <w:pPr>
        <w:pStyle w:val="Normal"/>
        <w:ind w:left="360" w:right="0" w:hanging="0"/>
        <w:jc w:val="center"/>
        <w:rPr>
          <w:rFonts w:ascii="Arial" w:hAnsi="Arial" w:cs="Arial"/>
          <w:sz w:val="20"/>
          <w:szCs w:val="20"/>
        </w:rPr>
      </w:pPr>
      <w:r>
        <w:rPr>
          <w:rFonts w:cs="Arial" w:ascii="Arial" w:hAnsi="Arial"/>
          <w:sz w:val="20"/>
          <w:szCs w:val="20"/>
        </w:rPr>
      </w:r>
    </w:p>
    <w:p>
      <w:pPr>
        <w:pStyle w:val="Normal"/>
        <w:ind w:left="360" w:right="0" w:hanging="0"/>
        <w:jc w:val="center"/>
        <w:rPr>
          <w:rFonts w:ascii="Arial" w:hAnsi="Arial" w:cs="Arial"/>
          <w:sz w:val="20"/>
          <w:szCs w:val="20"/>
        </w:rPr>
      </w:pPr>
      <w:r>
        <w:rPr>
          <w:rFonts w:cs="Arial" w:ascii="Arial" w:hAnsi="Arial"/>
          <w:sz w:val="20"/>
          <w:szCs w:val="20"/>
        </w:rPr>
        <w:t>Maria Leopoldina Veras Camelo</w:t>
      </w:r>
    </w:p>
    <w:p>
      <w:pPr>
        <w:pStyle w:val="Normal"/>
        <w:ind w:left="360" w:right="0" w:hanging="0"/>
        <w:jc w:val="center"/>
        <w:rPr>
          <w:rFonts w:ascii="Arial" w:hAnsi="Arial" w:cs="Arial"/>
          <w:sz w:val="20"/>
          <w:szCs w:val="20"/>
        </w:rPr>
      </w:pPr>
      <w:r>
        <w:rPr>
          <w:rFonts w:cs="Arial" w:ascii="Arial" w:hAnsi="Arial"/>
          <w:sz w:val="20"/>
          <w:szCs w:val="20"/>
        </w:rPr>
        <w:t>Reitora</w:t>
      </w:r>
    </w:p>
    <w:p>
      <w:pPr>
        <w:pStyle w:val="Normal"/>
        <w:ind w:left="360" w:right="0" w:hanging="0"/>
        <w:jc w:val="center"/>
        <w:rPr>
          <w:rFonts w:ascii="Arial" w:hAnsi="Arial" w:cs="Arial"/>
          <w:sz w:val="20"/>
          <w:szCs w:val="20"/>
        </w:rPr>
      </w:pPr>
      <w:r>
        <w:rPr>
          <w:rFonts w:cs="Arial" w:ascii="Arial" w:hAnsi="Arial"/>
          <w:sz w:val="20"/>
          <w:szCs w:val="20"/>
        </w:rPr>
        <w:t>IF Sertão Pernambucano</w:t>
      </w:r>
    </w:p>
    <w:p>
      <w:pPr>
        <w:pStyle w:val="Normal"/>
        <w:spacing w:before="0" w:after="360"/>
        <w:ind w:left="360" w:right="0"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Times New Roman"/>
          <w:b/>
          <w:b/>
          <w:bCs/>
          <w:color w:val="080808"/>
          <w:sz w:val="20"/>
          <w:szCs w:val="20"/>
          <w:lang w:val="pt-PT"/>
        </w:rPr>
      </w:pPr>
      <w:r>
        <w:rPr>
          <w:rFonts w:cs="Times New Roman" w:ascii="Arial" w:hAnsi="Arial"/>
          <w:b/>
          <w:bCs/>
          <w:color w:val="080808"/>
          <w:sz w:val="20"/>
          <w:szCs w:val="20"/>
          <w:lang w:val="pt-PT"/>
        </w:rPr>
      </w:r>
    </w:p>
    <w:p>
      <w:pPr>
        <w:pStyle w:val="Normal"/>
        <w:spacing w:lineRule="auto" w:line="360"/>
        <w:jc w:val="center"/>
        <w:rPr>
          <w:rFonts w:ascii="Arial" w:hAnsi="Arial" w:cs="Times New Roman"/>
          <w:b/>
          <w:b/>
          <w:bCs/>
          <w:color w:val="080808"/>
          <w:sz w:val="20"/>
          <w:szCs w:val="20"/>
          <w:lang w:val="pt-PT"/>
        </w:rPr>
      </w:pPr>
      <w:r>
        <w:rPr>
          <w:rFonts w:cs="Times New Roman" w:ascii="Arial" w:hAnsi="Arial"/>
          <w:b/>
          <w:bCs/>
          <w:color w:val="080808"/>
          <w:sz w:val="20"/>
          <w:szCs w:val="20"/>
          <w:lang w:val="pt-PT"/>
        </w:rPr>
      </w:r>
    </w:p>
    <w:p>
      <w:pPr>
        <w:pStyle w:val="Normal"/>
        <w:spacing w:lineRule="auto" w:line="360"/>
        <w:jc w:val="center"/>
        <w:rPr>
          <w:rFonts w:ascii="Arial" w:hAnsi="Arial" w:cs="Times New Roman"/>
          <w:b/>
          <w:b/>
          <w:bCs/>
          <w:color w:val="080808"/>
          <w:sz w:val="20"/>
          <w:szCs w:val="20"/>
          <w:lang w:val="pt-PT"/>
        </w:rPr>
      </w:pPr>
      <w:r>
        <w:rPr/>
      </w:r>
    </w:p>
    <w:p>
      <w:pPr>
        <w:pStyle w:val="Normal"/>
        <w:spacing w:lineRule="auto" w:line="360"/>
        <w:jc w:val="center"/>
        <w:rPr/>
      </w:pPr>
      <w:r>
        <w:rPr>
          <w:rFonts w:cs="Times New Roman" w:ascii="Arial" w:hAnsi="Arial"/>
          <w:b/>
          <w:bCs/>
          <w:color w:val="080808"/>
          <w:sz w:val="20"/>
          <w:szCs w:val="20"/>
          <w:lang w:val="pt-PT"/>
        </w:rPr>
        <w:t>ANEXO I-A</w:t>
      </w:r>
    </w:p>
    <w:p>
      <w:pPr>
        <w:pStyle w:val="Normal"/>
        <w:spacing w:lineRule="auto" w:line="360" w:before="280" w:after="0"/>
        <w:jc w:val="center"/>
        <w:rPr>
          <w:rFonts w:ascii="Arial" w:hAnsi="Arial" w:cs="Times New Roman"/>
          <w:b/>
          <w:b/>
          <w:bCs/>
          <w:color w:val="080808"/>
          <w:sz w:val="20"/>
          <w:szCs w:val="20"/>
          <w:lang w:val="pt-PT"/>
        </w:rPr>
      </w:pPr>
      <w:r>
        <w:rPr>
          <w:rFonts w:cs="Times New Roman" w:ascii="Arial" w:hAnsi="Arial"/>
          <w:b/>
          <w:bCs/>
          <w:color w:val="080808"/>
          <w:sz w:val="20"/>
          <w:szCs w:val="20"/>
          <w:lang w:val="pt-PT"/>
        </w:rPr>
        <w:t>MODELO DE DECLARAÇÃO DE SUSTENTABILIDADE AMBIENTAL</w:t>
      </w:r>
    </w:p>
    <w:p>
      <w:pPr>
        <w:pStyle w:val="Normal"/>
        <w:spacing w:lineRule="auto" w:line="360" w:before="280" w:after="0"/>
        <w:jc w:val="center"/>
        <w:rPr>
          <w:rFonts w:ascii="Arial" w:hAnsi="Arial" w:cs="Times New Roman"/>
          <w:sz w:val="20"/>
          <w:szCs w:val="20"/>
          <w:lang w:val="pt-PT"/>
        </w:rPr>
      </w:pPr>
      <w:r>
        <w:rPr>
          <w:rFonts w:cs="Times New Roman" w:ascii="Arial" w:hAnsi="Arial"/>
          <w:sz w:val="20"/>
          <w:szCs w:val="20"/>
          <w:lang w:val="pt-PT"/>
        </w:rPr>
      </w:r>
    </w:p>
    <w:p>
      <w:pPr>
        <w:pStyle w:val="Normal"/>
        <w:spacing w:lineRule="auto" w:line="360" w:before="280" w:after="0"/>
        <w:jc w:val="both"/>
        <w:rPr/>
      </w:pPr>
      <w:r>
        <w:rPr>
          <w:rStyle w:val="Fontepargpadro"/>
          <w:rFonts w:cs="Times New Roman" w:ascii="Arial" w:hAnsi="Arial"/>
          <w:color w:val="080808"/>
          <w:sz w:val="20"/>
          <w:szCs w:val="20"/>
          <w:lang w:val="pt-PT"/>
        </w:rPr>
        <w:t>Declaramos, sob as penas da lei, na qualidade de proponente do procedimento licitatório, Nome da Empresa:___________________________, CNPJ n°.:___________________________, por licitação, na modalidade pregão eletrônico, cujo objeto é a</w:t>
      </w:r>
      <w:r>
        <w:rPr>
          <w:rStyle w:val="Fontepargpadro"/>
          <w:rFonts w:eastAsia="MS Gothic" w:cs="Arial" w:ascii="Arial" w:hAnsi="Arial"/>
          <w:bCs/>
          <w:iCs/>
          <w:sz w:val="20"/>
          <w:szCs w:val="20"/>
        </w:rPr>
        <w:t xml:space="preserve">  </w:t>
      </w:r>
      <w:r>
        <w:rPr>
          <w:rStyle w:val="Fontepargpadro"/>
          <w:rFonts w:eastAsia="MS Gothic" w:cs="Arial" w:ascii="Arial" w:hAnsi="Arial"/>
          <w:b/>
          <w:bCs/>
          <w:color w:val="000000"/>
          <w:sz w:val="20"/>
          <w:szCs w:val="20"/>
        </w:rPr>
        <w:t>Aquisição de insumos(materiais e equipamentos), para fins de enfrentamento da emergência de saúde pública de importância internacional decorrente do novo coronavírus, causador da COVID-19 para atender o Instituto Federal do Sertão pernambucano</w:t>
      </w:r>
      <w:r>
        <w:rPr>
          <w:rStyle w:val="Fontepargpadro"/>
          <w:rFonts w:cs="Times New Roman" w:ascii="Arial" w:hAnsi="Arial"/>
          <w:color w:val="080808"/>
          <w:sz w:val="20"/>
          <w:szCs w:val="20"/>
          <w:lang w:val="pt-PT"/>
        </w:rPr>
        <w:t>, de que atendemos aos critérios de sustentabilidade ambiental, respeitando as normas de proteção do meio ambiente, conforme estabelece a Instrução Normativa no 01, de 19 de janeiro de 2010, nos casos em que a referida instrução se aplica ao objeto.</w:t>
      </w:r>
    </w:p>
    <w:p>
      <w:pPr>
        <w:pStyle w:val="Normal"/>
        <w:spacing w:lineRule="auto" w:line="360" w:before="280" w:after="0"/>
        <w:jc w:val="both"/>
        <w:rPr>
          <w:rFonts w:ascii="Arial" w:hAnsi="Arial" w:cs="Times New Roman"/>
          <w:sz w:val="20"/>
          <w:szCs w:val="20"/>
          <w:lang w:val="pt-PT"/>
        </w:rPr>
      </w:pPr>
      <w:r>
        <w:rPr>
          <w:rFonts w:cs="Times New Roman" w:ascii="Arial" w:hAnsi="Arial"/>
          <w:sz w:val="20"/>
          <w:szCs w:val="20"/>
          <w:lang w:val="pt-PT"/>
        </w:rPr>
      </w:r>
    </w:p>
    <w:p>
      <w:pPr>
        <w:pStyle w:val="Normal"/>
        <w:spacing w:lineRule="auto" w:line="360" w:before="280" w:after="0"/>
        <w:rPr>
          <w:rFonts w:ascii="Arial" w:hAnsi="Arial" w:cs="Times New Roman"/>
          <w:color w:val="080808"/>
          <w:sz w:val="20"/>
          <w:szCs w:val="20"/>
          <w:lang w:val="pt-PT"/>
        </w:rPr>
      </w:pPr>
      <w:r>
        <w:rPr>
          <w:rFonts w:cs="Times New Roman" w:ascii="Arial" w:hAnsi="Arial"/>
          <w:color w:val="080808"/>
          <w:sz w:val="20"/>
          <w:szCs w:val="20"/>
          <w:lang w:val="pt-PT"/>
        </w:rPr>
        <w:t>Por ser a expressão da verdade, firmamos o presente.</w:t>
      </w:r>
    </w:p>
    <w:p>
      <w:pPr>
        <w:pStyle w:val="Normal"/>
        <w:spacing w:lineRule="auto" w:line="360" w:before="280" w:after="0"/>
        <w:rPr>
          <w:rFonts w:ascii="Arial" w:hAnsi="Arial" w:cs="Times New Roman"/>
          <w:sz w:val="20"/>
          <w:szCs w:val="20"/>
          <w:lang w:val="pt-PT"/>
        </w:rPr>
      </w:pPr>
      <w:r>
        <w:rPr>
          <w:rFonts w:cs="Times New Roman" w:ascii="Arial" w:hAnsi="Arial"/>
          <w:sz w:val="20"/>
          <w:szCs w:val="20"/>
          <w:lang w:val="pt-PT"/>
        </w:rPr>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t>Local, .…...de ............................ de 2020.</w:t>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r>
    </w:p>
    <w:p>
      <w:pPr>
        <w:pStyle w:val="Normal"/>
        <w:spacing w:lineRule="auto" w:line="360" w:before="280" w:after="0"/>
        <w:jc w:val="right"/>
        <w:rPr>
          <w:rFonts w:ascii="Arial" w:hAnsi="Arial" w:cs="Times New Roman"/>
          <w:color w:val="080808"/>
          <w:sz w:val="20"/>
          <w:szCs w:val="20"/>
          <w:lang w:val="pt-PT"/>
        </w:rPr>
      </w:pPr>
      <w:r>
        <w:rPr>
          <w:rFonts w:cs="Times New Roman" w:ascii="Arial" w:hAnsi="Arial"/>
          <w:color w:val="080808"/>
          <w:sz w:val="20"/>
          <w:szCs w:val="20"/>
          <w:lang w:val="pt-PT"/>
        </w:rPr>
      </w:r>
    </w:p>
    <w:p>
      <w:pPr>
        <w:pStyle w:val="Normal"/>
        <w:spacing w:lineRule="auto" w:line="240" w:before="166" w:after="0"/>
        <w:jc w:val="center"/>
        <w:rPr>
          <w:rFonts w:ascii="Arial" w:hAnsi="Arial" w:cs="Times New Roman"/>
          <w:b/>
          <w:b/>
          <w:bCs/>
          <w:color w:val="080808"/>
          <w:sz w:val="20"/>
          <w:szCs w:val="20"/>
          <w:lang w:val="pt-PT"/>
        </w:rPr>
      </w:pPr>
      <w:r>
        <w:rPr>
          <w:rFonts w:cs="Times New Roman" w:ascii="Arial" w:hAnsi="Arial"/>
          <w:b/>
          <w:bCs/>
          <w:color w:val="080808"/>
          <w:sz w:val="20"/>
          <w:szCs w:val="20"/>
          <w:lang w:val="pt-PT"/>
        </w:rPr>
      </w:r>
    </w:p>
    <w:p>
      <w:pPr>
        <w:pStyle w:val="Normal"/>
        <w:spacing w:lineRule="auto" w:line="240" w:before="166" w:after="0"/>
        <w:jc w:val="center"/>
        <w:rPr>
          <w:rFonts w:ascii="Arial" w:hAnsi="Arial" w:cs="Times New Roman"/>
          <w:b/>
          <w:b/>
          <w:bCs/>
          <w:color w:val="080808"/>
          <w:sz w:val="20"/>
          <w:szCs w:val="20"/>
          <w:lang w:val="pt-PT"/>
        </w:rPr>
      </w:pPr>
      <w:r>
        <w:rPr>
          <w:rFonts w:cs="Times New Roman" w:ascii="Arial" w:hAnsi="Arial"/>
          <w:b/>
          <w:bCs/>
          <w:color w:val="080808"/>
          <w:sz w:val="20"/>
          <w:szCs w:val="20"/>
          <w:lang w:val="pt-PT"/>
        </w:rPr>
      </w:r>
    </w:p>
    <w:p>
      <w:pPr>
        <w:pStyle w:val="Normal"/>
        <w:spacing w:lineRule="auto" w:line="240" w:before="166" w:after="0"/>
        <w:jc w:val="center"/>
        <w:rPr/>
      </w:pPr>
      <w:r>
        <w:rPr>
          <w:rFonts w:cs="Times New Roman" w:ascii="Arial" w:hAnsi="Arial"/>
          <w:b/>
          <w:bCs/>
          <w:color w:val="080808"/>
          <w:sz w:val="20"/>
          <w:szCs w:val="20"/>
          <w:lang w:val="pt-PT"/>
        </w:rPr>
        <w:t>ANEXO I-B</w:t>
      </w:r>
    </w:p>
    <w:p>
      <w:pPr>
        <w:pStyle w:val="Normal"/>
        <w:spacing w:lineRule="auto" w:line="360" w:before="166" w:after="0"/>
        <w:jc w:val="center"/>
        <w:rPr>
          <w:rFonts w:ascii="Arial" w:hAnsi="Arial"/>
          <w:sz w:val="20"/>
          <w:szCs w:val="20"/>
        </w:rPr>
      </w:pPr>
      <w:r>
        <w:rPr>
          <w:rFonts w:cs="Arial" w:ascii="Arial" w:hAnsi="Arial"/>
          <w:b/>
          <w:sz w:val="20"/>
          <w:szCs w:val="20"/>
        </w:rPr>
        <w:t>PLANILHA DE PREÇO MÉDIO MÁXIMO ACEITÁVEL</w:t>
      </w:r>
    </w:p>
    <w:p>
      <w:pPr>
        <w:pStyle w:val="Normal"/>
        <w:spacing w:lineRule="auto" w:line="360" w:before="166" w:after="0"/>
        <w:jc w:val="center"/>
        <w:rPr>
          <w:rFonts w:cs="Arial"/>
          <w:b/>
          <w:b/>
        </w:rPr>
      </w:pPr>
      <w:r>
        <w:rPr>
          <w:rFonts w:cs="Arial"/>
          <w:b/>
        </w:rPr>
      </w:r>
    </w:p>
    <w:tbl>
      <w:tblPr>
        <w:tblW w:w="9180" w:type="dxa"/>
        <w:jc w:val="left"/>
        <w:tblInd w:w="1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240"/>
        <w:gridCol w:w="1533"/>
        <w:gridCol w:w="1124"/>
        <w:gridCol w:w="1243"/>
        <w:gridCol w:w="2"/>
        <w:gridCol w:w="1303"/>
      </w:tblGrid>
      <w:tr>
        <w:trPr/>
        <w:tc>
          <w:tcPr>
            <w:tcW w:w="91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1: Aquisição de Insumo Agrícolas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01</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Mangueira de gotejamento cilíndrico autocompensante 50x50cm, plástica para irrigação, ½ polegada, Preta. Rolo com 500 metros</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Rolo com 500 Metros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02</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325,66</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651,32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02</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para mudas 14x25cm</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0,10</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300,00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03</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para mudas 15x30cm</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0,15</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450,00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04</w:t>
            </w:r>
          </w:p>
          <w:p>
            <w:pPr>
              <w:pStyle w:val="Contedodetabela"/>
              <w:snapToGrid w:val="false"/>
              <w:jc w:val="center"/>
              <w:rPr>
                <w:rFonts w:ascii="Arial" w:hAnsi="Arial" w:cs="Arial"/>
                <w:sz w:val="20"/>
                <w:szCs w:val="20"/>
              </w:rPr>
            </w:pPr>
            <w:r>
              <w:rPr>
                <w:rFonts w:cs="Arial" w:ascii="Arial" w:hAnsi="Arial"/>
                <w:sz w:val="20"/>
                <w:szCs w:val="20"/>
              </w:rPr>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color w:val="000000"/>
                <w:sz w:val="20"/>
                <w:szCs w:val="20"/>
              </w:rPr>
            </w:pPr>
            <w:r>
              <w:rPr>
                <w:rFonts w:cs="Arial" w:ascii="Arial" w:hAnsi="Arial"/>
                <w:color w:val="000000"/>
                <w:sz w:val="20"/>
                <w:szCs w:val="20"/>
              </w:rPr>
              <w:t>Substrato orgânico (Composto por turfa, vermiculita, resíduo orgânico, resíduo orgânico agroindustrial classe A e calcário).</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Saco com 25 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06</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76,99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461,94</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05</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Tesoura de poda manual, de 7 ou 8 polegadas, com cabo emborrachado e trava de segurança</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28,45</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28,45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06</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Regador plástico com capacidade de 10 litros</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04</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22,68</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284,50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07</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Fertilizante Torta de mamona</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14,45</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2.890,00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1 (R$)</w:t>
            </w:r>
          </w:p>
        </w:tc>
        <w:tc>
          <w:tcPr>
            <w:tcW w:w="130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5.066,21</w:t>
            </w:r>
          </w:p>
        </w:tc>
      </w:tr>
    </w:tbl>
    <w:p>
      <w:pPr>
        <w:pStyle w:val="Corpodetexto"/>
        <w:rPr>
          <w:rFonts w:ascii="Arial" w:hAnsi="Arial"/>
          <w:sz w:val="20"/>
          <w:szCs w:val="20"/>
        </w:rPr>
      </w:pPr>
      <w:r>
        <w:rPr>
          <w:rFonts w:ascii="Arial" w:hAnsi="Arial"/>
          <w:sz w:val="20"/>
          <w:szCs w:val="20"/>
        </w:rPr>
      </w:r>
    </w:p>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240"/>
        <w:gridCol w:w="1533"/>
        <w:gridCol w:w="1124"/>
        <w:gridCol w:w="1243"/>
        <w:gridCol w:w="2"/>
        <w:gridCol w:w="1303"/>
      </w:tblGrid>
      <w:tr>
        <w:trPr/>
        <w:tc>
          <w:tcPr>
            <w:tcW w:w="9179" w:type="dxa"/>
            <w:gridSpan w:val="7"/>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2: Aquisição de Embalagens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08</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Frasco plástico pet 200mL com tampa rosqueada</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2.180,00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09</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Frasco plástico pet 350mL com tampa rosqueada</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0,68</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1.360,00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10</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Recipiente plástico com tampa 5000ml</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2</w:t>
            </w:r>
            <w:r>
              <w:rPr>
                <w:rFonts w:cs="Arial" w:ascii="Arial" w:hAnsi="Arial"/>
                <w:b/>
                <w:bCs/>
                <w:sz w:val="20"/>
                <w:szCs w:val="20"/>
                <w:highlight w:val="yellow"/>
              </w:rPr>
              <w:t>.000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5,12</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highlight w:val="yellow"/>
              </w:rPr>
            </w:pPr>
            <w:r>
              <w:rPr>
                <w:rFonts w:cs="Arial" w:ascii="Arial" w:hAnsi="Arial"/>
                <w:sz w:val="20"/>
                <w:szCs w:val="20"/>
                <w:highlight w:val="yellow"/>
              </w:rPr>
              <w:t>10.240,00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11</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Recipiente plástico com tampa flip top 100 ml</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3.500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3,44</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highlight w:val="yellow"/>
              </w:rPr>
            </w:pPr>
            <w:r>
              <w:rPr>
                <w:rFonts w:cs="Arial" w:ascii="Arial" w:hAnsi="Arial"/>
                <w:sz w:val="20"/>
                <w:szCs w:val="20"/>
                <w:highlight w:val="yellow"/>
              </w:rPr>
              <w:t>12.040,00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12</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Recipiente plástico com tampa flip top 500 ml</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3.500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9,73</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highlight w:val="yellow"/>
              </w:rPr>
            </w:pPr>
            <w:r>
              <w:rPr>
                <w:rFonts w:cs="Arial" w:ascii="Arial" w:hAnsi="Arial"/>
                <w:sz w:val="20"/>
                <w:szCs w:val="20"/>
                <w:highlight w:val="yellow"/>
              </w:rPr>
              <w:t>34.055,00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13</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Recipiente plástico com válvula bico de pato 1000 ml</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3.500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9,88</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highlight w:val="yellow"/>
              </w:rPr>
            </w:pPr>
            <w:r>
              <w:rPr>
                <w:rFonts w:cs="Arial" w:ascii="Arial" w:hAnsi="Arial"/>
                <w:sz w:val="20"/>
                <w:szCs w:val="20"/>
                <w:highlight w:val="yellow"/>
              </w:rPr>
              <w:t>34.580,00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14</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plástico transparente 20x30cm</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0,29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290,00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15</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plástico transparente para embalagem 25x35cm</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2.000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0,30</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600,00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16</w:t>
            </w:r>
          </w:p>
        </w:tc>
        <w:tc>
          <w:tcPr>
            <w:tcW w:w="3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Saco plástico para lixo, reforçado. Capacidade de 100 litros (pacote com 100 unid)</w:t>
            </w:r>
          </w:p>
        </w:tc>
        <w:tc>
          <w:tcPr>
            <w:tcW w:w="15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Pacote com 100 unidades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58,69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1.760,70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Valor Total Estimado Para a Aquisição do Grupo 2 (R$)</w:t>
            </w:r>
          </w:p>
        </w:tc>
        <w:tc>
          <w:tcPr>
            <w:tcW w:w="130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97.105,70 </w:t>
            </w:r>
          </w:p>
        </w:tc>
      </w:tr>
    </w:tbl>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345"/>
        <w:gridCol w:w="1426"/>
        <w:gridCol w:w="1124"/>
        <w:gridCol w:w="1245"/>
        <w:gridCol w:w="1305"/>
      </w:tblGrid>
      <w:tr>
        <w:trPr/>
        <w:tc>
          <w:tcPr>
            <w:tcW w:w="9179" w:type="dxa"/>
            <w:gridSpan w:val="6"/>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3: Aquisição de Produtos Alimentícios e Outros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17</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Açúcar cristal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2,78</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111,20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18</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Extrato de própolis, conta gotas, frasco com 30mL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18,10</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362,00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19</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Gordura vegetal hidrogenada, (pacote com 500g)</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Pacote com 500 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08</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10,11</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80,88</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20</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Mel de abelha 100% puro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04</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41,26</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165,04</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21</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Óleo de coco, embalagem com 500ml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26,66</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666,50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22</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Óleo vegetal de canola, embalagem com 900mL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900 ml</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07</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9,65</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67,55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23</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Sabão de coco em barra</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12,17</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121,70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3 (R$)</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1.574,87</w:t>
            </w:r>
          </w:p>
        </w:tc>
      </w:tr>
    </w:tbl>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345"/>
        <w:gridCol w:w="1426"/>
        <w:gridCol w:w="1124"/>
        <w:gridCol w:w="1245"/>
        <w:gridCol w:w="1305"/>
      </w:tblGrid>
      <w:tr>
        <w:trPr/>
        <w:tc>
          <w:tcPr>
            <w:tcW w:w="9179" w:type="dxa"/>
            <w:gridSpan w:val="6"/>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4:Aquisição de Descartáveis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24</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Avental descartável com manga caixa, (caixa com 10 unidades)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Caixa com 10 Unidades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82,32</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411,60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25</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color w:val="000000"/>
                <w:sz w:val="20"/>
                <w:szCs w:val="20"/>
              </w:rPr>
            </w:pPr>
            <w:r>
              <w:rPr>
                <w:rFonts w:cs="Arial" w:ascii="Arial" w:hAnsi="Arial"/>
                <w:color w:val="000000"/>
                <w:sz w:val="20"/>
                <w:szCs w:val="20"/>
              </w:rPr>
              <w:t>Touca descartável (pacote com 100 unidades)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Pacote com 100 unidades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30,19</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301,90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26</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Máscaras descartáveis, tripla, tipo cirúrgica. Caixa com 50 unidades.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sz w:val="20"/>
                <w:szCs w:val="20"/>
              </w:rPr>
            </w:pPr>
            <w:r>
              <w:rPr>
                <w:rFonts w:cs="Arial" w:ascii="Arial" w:hAnsi="Arial"/>
                <w:sz w:val="20"/>
                <w:szCs w:val="20"/>
              </w:rPr>
              <w:t>Caixa com 50 unidades.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221,74</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4.434,80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4(R$)</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5.148,30</w:t>
            </w:r>
          </w:p>
        </w:tc>
      </w:tr>
    </w:tbl>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345"/>
        <w:gridCol w:w="1426"/>
        <w:gridCol w:w="1124"/>
        <w:gridCol w:w="1245"/>
        <w:gridCol w:w="1305"/>
      </w:tblGrid>
      <w:tr>
        <w:trPr/>
        <w:tc>
          <w:tcPr>
            <w:tcW w:w="9179" w:type="dxa"/>
            <w:gridSpan w:val="6"/>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5: Aquisição de Utensílios Domésticos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27</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Balde de plástico, transparente graduado (20 litros)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01</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53,25</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53,25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28</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Caixa plástica sem tampa 15 litros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24,83</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124,15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29</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Caldeirão em aço inox, fundo triplo, com tampa e alça, com capacidade de 9,6 a 11,9 litros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03</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395,38</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1.186,14</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30</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Colher de servir em aço inox, com cabo de baquelite, medindo 26 a 33 cm</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25,42</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127,10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31</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Funil dosador para líquido, aço inox com suporte</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03</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88,01</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264,03</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32</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sz w:val="20"/>
                <w:szCs w:val="20"/>
              </w:rPr>
            </w:pPr>
            <w:r>
              <w:rPr>
                <w:rFonts w:cs="Arial" w:ascii="Arial" w:hAnsi="Arial"/>
                <w:sz w:val="20"/>
                <w:szCs w:val="20"/>
              </w:rPr>
              <w:t>Bandeja plástica,</w:t>
            </w:r>
            <w:r>
              <w:rPr>
                <w:rFonts w:cs="Arial" w:ascii="Arial" w:hAnsi="Arial"/>
                <w:color w:val="000000"/>
                <w:sz w:val="20"/>
                <w:szCs w:val="20"/>
              </w:rPr>
              <w:t xml:space="preserve"> retangular</w:t>
            </w:r>
            <w:r>
              <w:rPr>
                <w:rFonts w:cs="Arial" w:ascii="Arial" w:hAnsi="Arial"/>
                <w:sz w:val="20"/>
                <w:szCs w:val="20"/>
              </w:rPr>
              <w:t>, 13,7L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31,46</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157,30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5 (R$)</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1.911,97</w:t>
            </w:r>
          </w:p>
        </w:tc>
      </w:tr>
    </w:tbl>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285"/>
        <w:gridCol w:w="1488"/>
        <w:gridCol w:w="1124"/>
        <w:gridCol w:w="1243"/>
        <w:gridCol w:w="2"/>
        <w:gridCol w:w="1303"/>
      </w:tblGrid>
      <w:tr>
        <w:trPr/>
        <w:tc>
          <w:tcPr>
            <w:tcW w:w="9179" w:type="dxa"/>
            <w:gridSpan w:val="7"/>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6: Aquisição de Itens Diversos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2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4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33</w:t>
            </w:r>
          </w:p>
        </w:tc>
        <w:tc>
          <w:tcPr>
            <w:tcW w:w="32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Acetato cristal transparente, tamanho mínimo A4 (tamanho ideal 370 x 240 mm), com espessura mínima de 0,4 mm (ideal de 0,5 mm), pacote com 50 folhas.</w:t>
            </w:r>
          </w:p>
        </w:tc>
        <w:tc>
          <w:tcPr>
            <w:tcW w:w="14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Pacote com 50 folhas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150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90,42</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13.563,00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34</w:t>
            </w:r>
          </w:p>
        </w:tc>
        <w:tc>
          <w:tcPr>
            <w:tcW w:w="32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Bico de latão para impressora 3D, modelo MK10, diâmetro de extrusão de 0,4 mm.</w:t>
            </w:r>
          </w:p>
        </w:tc>
        <w:tc>
          <w:tcPr>
            <w:tcW w:w="14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13,89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277,80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35</w:t>
            </w:r>
          </w:p>
        </w:tc>
        <w:tc>
          <w:tcPr>
            <w:tcW w:w="32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sz w:val="20"/>
                <w:szCs w:val="20"/>
              </w:rPr>
            </w:pPr>
            <w:r>
              <w:rPr>
                <w:rFonts w:cs="Arial" w:ascii="Arial" w:hAnsi="Arial"/>
                <w:sz w:val="20"/>
                <w:szCs w:val="20"/>
              </w:rPr>
              <w:t xml:space="preserve">Filamento ABS ou PLA, </w:t>
            </w:r>
            <w:r>
              <w:rPr>
                <w:rFonts w:cs="Arial" w:ascii="Arial" w:hAnsi="Arial"/>
                <w:color w:val="000000"/>
                <w:sz w:val="20"/>
                <w:szCs w:val="20"/>
              </w:rPr>
              <w:t>1,75mm</w:t>
            </w:r>
            <w:r>
              <w:rPr>
                <w:rFonts w:cs="Arial" w:ascii="Arial" w:hAnsi="Arial"/>
                <w:sz w:val="20"/>
                <w:szCs w:val="20"/>
              </w:rPr>
              <w:t>. (Rolo com 1kg)</w:t>
            </w:r>
          </w:p>
        </w:tc>
        <w:tc>
          <w:tcPr>
            <w:tcW w:w="14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Rolo de 01 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50</w:t>
            </w:r>
          </w:p>
        </w:tc>
        <w:tc>
          <w:tcPr>
            <w:tcW w:w="124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116,69</w:t>
            </w:r>
          </w:p>
        </w:tc>
        <w:tc>
          <w:tcPr>
            <w:tcW w:w="13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5.834,50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6 (R$)</w:t>
            </w:r>
          </w:p>
        </w:tc>
        <w:tc>
          <w:tcPr>
            <w:tcW w:w="130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19.675,30</w:t>
            </w:r>
          </w:p>
        </w:tc>
      </w:tr>
    </w:tbl>
    <w:p>
      <w:pPr>
        <w:pStyle w:val="Corpodetexto"/>
        <w:rPr>
          <w:rFonts w:ascii="Arial" w:hAnsi="Arial"/>
          <w:sz w:val="20"/>
          <w:szCs w:val="20"/>
        </w:rPr>
      </w:pPr>
      <w:r>
        <w:rPr>
          <w:rFonts w:ascii="Arial" w:hAnsi="Arial"/>
          <w:sz w:val="20"/>
          <w:szCs w:val="20"/>
        </w:rPr>
      </w:r>
    </w:p>
    <w:tbl>
      <w:tblPr>
        <w:tblW w:w="9180" w:type="dxa"/>
        <w:jc w:val="left"/>
        <w:tblInd w:w="1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734"/>
        <w:gridCol w:w="3345"/>
        <w:gridCol w:w="1426"/>
        <w:gridCol w:w="1124"/>
        <w:gridCol w:w="1245"/>
        <w:gridCol w:w="1305"/>
      </w:tblGrid>
      <w:tr>
        <w:trPr/>
        <w:tc>
          <w:tcPr>
            <w:tcW w:w="9179"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Grupo 7: Aquisição de Produtos Químicos – PROEXT</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36</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Etilenoglicol em frascos de 1.000ml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eastAsia="Times New Roman" w:cs="Arial"/>
                <w:sz w:val="20"/>
                <w:szCs w:val="20"/>
                <w:lang w:eastAsia="ar-SA" w:bidi="ar-SA"/>
              </w:rPr>
            </w:pPr>
            <w:r>
              <w:rPr>
                <w:rFonts w:eastAsia="Times New Roman" w:cs="Arial" w:ascii="Arial" w:hAnsi="Arial"/>
                <w:sz w:val="20"/>
                <w:szCs w:val="20"/>
                <w:lang w:eastAsia="ar-SA" w:bidi="ar-SA"/>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37,24</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2.979,20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37</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Essência de limão em fracos de 1.000ml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60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43,84</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2.630,40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38</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Essência para desinfetante: Essências de diversas fragrâncias para produção de saneantes (litro)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60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57,98</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3.478,80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39</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Hipoclorito de sódio com teor de cloro livre entre 2 e 2,5% (Litro)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350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3,60</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1.260,00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40</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Salicilato de Metila em frascos de 1.000ml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84,33</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843,30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41</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Vaselina liquida em frascos de 1.000ml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 xml:space="preserve">Litro </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30,95</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619,00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42</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Álcool etílico 96% frasco com 1000 ml</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12.000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9,97</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119.640,00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43</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Coagulante espessante: Produto de Coagulação para produção de gel (kg)</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eastAsiaTheme="minorEastAsia"/>
                <w:highlight w:val="yellow"/>
              </w:rPr>
            </w:pPr>
            <w:r>
              <w:rPr>
                <w:rFonts w:cs="Arial" w:ascii="Arial" w:hAnsi="Arial"/>
                <w:b/>
                <w:bCs/>
                <w:sz w:val="20"/>
                <w:szCs w:val="20"/>
                <w:highlight w:val="yellow"/>
              </w:rPr>
              <w:t>6</w:t>
            </w:r>
            <w:r>
              <w:rPr>
                <w:rFonts w:cs="Arial" w:ascii="Arial" w:hAnsi="Arial"/>
                <w:b/>
                <w:bCs/>
                <w:sz w:val="20"/>
                <w:szCs w:val="20"/>
                <w:highlight w:val="yellow"/>
              </w:rPr>
              <w:t>00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41,63</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highlight w:val="yellow"/>
              </w:rPr>
            </w:pPr>
            <w:r>
              <w:rPr>
                <w:rFonts w:cs="Arial" w:ascii="Arial" w:hAnsi="Arial"/>
                <w:b/>
                <w:bCs/>
                <w:sz w:val="20"/>
                <w:szCs w:val="20"/>
                <w:highlight w:val="yellow"/>
              </w:rPr>
              <w:t>24.978,00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44</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Luvas nitrílicas, caixa com 100 unidades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Caixa com 100 unidades</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05</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46,36</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231,80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45</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Glicerina bi-destilada (litro)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80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14,95</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1.196,00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46</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Mix para desinfetante: Mix concentrado para produção de desinfetante (litro)</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Litro</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150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30,21</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4.531,50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47</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Carbonato de Sódio (Kg)</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30</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5,32</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159,60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48</w:t>
            </w:r>
          </w:p>
        </w:tc>
        <w:tc>
          <w:tcPr>
            <w:tcW w:w="33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eastAsia="Lucida Sans Unicode" w:cs="Arial"/>
                <w:sz w:val="20"/>
                <w:szCs w:val="20"/>
                <w:lang w:bidi="hi-IN"/>
              </w:rPr>
            </w:pPr>
            <w:r>
              <w:rPr>
                <w:rFonts w:eastAsia="Lucida Sans Unicode" w:cs="Arial" w:ascii="Arial" w:hAnsi="Arial"/>
                <w:sz w:val="20"/>
                <w:szCs w:val="20"/>
                <w:lang w:bidi="hi-IN"/>
              </w:rPr>
              <w:t>Hidróxido de sódio em escamas</w:t>
            </w:r>
          </w:p>
        </w:tc>
        <w:tc>
          <w:tcPr>
            <w:tcW w:w="1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06</w:t>
            </w:r>
          </w:p>
        </w:tc>
        <w:tc>
          <w:tcPr>
            <w:tcW w:w="1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16,30</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97,80</w:t>
            </w:r>
          </w:p>
        </w:tc>
      </w:tr>
      <w:tr>
        <w:trPr/>
        <w:tc>
          <w:tcPr>
            <w:tcW w:w="787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do Grupo 7(R$)</w:t>
            </w:r>
          </w:p>
        </w:tc>
        <w:tc>
          <w:tcPr>
            <w:tcW w:w="1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2"/>
                <w:szCs w:val="22"/>
              </w:rPr>
            </w:pPr>
            <w:r>
              <w:rPr>
                <w:rFonts w:cs="Arial" w:ascii="Arial" w:hAnsi="Arial"/>
                <w:b/>
                <w:bCs/>
                <w:sz w:val="20"/>
                <w:szCs w:val="20"/>
              </w:rPr>
              <w:t>162.645,40</w:t>
            </w:r>
          </w:p>
        </w:tc>
      </w:tr>
    </w:tbl>
    <w:p>
      <w:pPr>
        <w:pStyle w:val="Corpodetexto"/>
        <w:rPr>
          <w:rFonts w:ascii="Arial" w:hAnsi="Arial"/>
          <w:sz w:val="20"/>
          <w:szCs w:val="20"/>
        </w:rPr>
      </w:pPr>
      <w:r>
        <w:rPr>
          <w:rFonts w:ascii="Arial" w:hAnsi="Arial"/>
          <w:sz w:val="20"/>
          <w:szCs w:val="20"/>
        </w:rPr>
      </w:r>
    </w:p>
    <w:tbl>
      <w:tblPr>
        <w:tblW w:w="9240" w:type="dxa"/>
        <w:jc w:val="left"/>
        <w:tblInd w:w="-130" w:type="dxa"/>
        <w:tblBorders>
          <w:top w:val="single" w:sz="4"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5" w:type="dxa"/>
          <w:bottom w:w="55" w:type="dxa"/>
          <w:right w:w="55" w:type="dxa"/>
        </w:tblCellMar>
      </w:tblPr>
      <w:tblGrid>
        <w:gridCol w:w="853"/>
        <w:gridCol w:w="3465"/>
        <w:gridCol w:w="1306"/>
        <w:gridCol w:w="1124"/>
        <w:gridCol w:w="1125"/>
        <w:gridCol w:w="3"/>
        <w:gridCol w:w="1363"/>
      </w:tblGrid>
      <w:tr>
        <w:trPr/>
        <w:tc>
          <w:tcPr>
            <w:tcW w:w="9239" w:type="dxa"/>
            <w:gridSpan w:val="7"/>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Itens Diversos - PROEXT</w:t>
            </w:r>
          </w:p>
        </w:tc>
      </w:tr>
      <w:tr>
        <w:trPr/>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Item</w:t>
            </w:r>
          </w:p>
        </w:tc>
        <w:tc>
          <w:tcPr>
            <w:tcW w:w="3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ind w:left="-10" w:right="5" w:hanging="0"/>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Descrição</w:t>
            </w:r>
          </w:p>
        </w:tc>
        <w:tc>
          <w:tcPr>
            <w:tcW w:w="13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Normal"/>
              <w:suppressAutoHyphens w:val="false"/>
              <w:snapToGrid w:val="false"/>
              <w:spacing w:lineRule="atLeast" w:line="100" w:before="0" w:after="113"/>
              <w:jc w:val="center"/>
              <w:rPr>
                <w:rFonts w:ascii="Arial" w:hAnsi="Arial" w:eastAsia="Times New Roman" w:cs="Arial"/>
                <w:b/>
                <w:b/>
                <w:bCs/>
                <w:color w:val="000000"/>
                <w:sz w:val="20"/>
                <w:szCs w:val="20"/>
                <w:lang w:eastAsia="ar-SA" w:bidi="ar-SA"/>
              </w:rPr>
            </w:pPr>
            <w:r>
              <w:rPr>
                <w:rFonts w:eastAsia="Times New Roman" w:cs="Arial" w:ascii="Arial" w:hAnsi="Arial"/>
                <w:b/>
                <w:bCs/>
                <w:color w:val="000000"/>
                <w:sz w:val="20"/>
                <w:szCs w:val="20"/>
                <w:lang w:eastAsia="ar-SA" w:bidi="ar-SA"/>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Qtd. 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Unitário</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(B)</w:t>
            </w:r>
          </w:p>
        </w:tc>
        <w:tc>
          <w:tcPr>
            <w:tcW w:w="136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 xml:space="preserve">Valor </w:t>
            </w:r>
          </w:p>
          <w:p>
            <w:pPr>
              <w:pStyle w:val="Contedodetabela"/>
              <w:snapToGrid w:val="false"/>
              <w:jc w:val="center"/>
              <w:rPr>
                <w:rFonts w:ascii="Arial" w:hAnsi="Arial" w:cs="Arial"/>
                <w:b/>
                <w:b/>
                <w:bCs/>
                <w:sz w:val="20"/>
                <w:szCs w:val="20"/>
              </w:rPr>
            </w:pPr>
            <w:r>
              <w:rPr>
                <w:rFonts w:cs="Arial" w:ascii="Arial" w:hAnsi="Arial"/>
                <w:b/>
                <w:bCs/>
                <w:sz w:val="20"/>
                <w:szCs w:val="20"/>
              </w:rPr>
              <w:t>Total</w:t>
            </w:r>
          </w:p>
          <w:p>
            <w:pPr>
              <w:pStyle w:val="Contedodetabela"/>
              <w:snapToGrid w:val="false"/>
              <w:jc w:val="center"/>
              <w:rPr>
                <w:rFonts w:ascii="Arial" w:hAnsi="Arial" w:cs="Arial"/>
                <w:b/>
                <w:b/>
                <w:bCs/>
                <w:sz w:val="20"/>
                <w:szCs w:val="20"/>
              </w:rPr>
            </w:pPr>
            <w:r>
              <w:rPr>
                <w:rFonts w:cs="Arial" w:ascii="Arial" w:hAnsi="Arial"/>
                <w:b/>
                <w:bCs/>
                <w:sz w:val="20"/>
                <w:szCs w:val="20"/>
              </w:rPr>
            </w:r>
          </w:p>
          <w:p>
            <w:pPr>
              <w:pStyle w:val="Contedodetabela"/>
              <w:snapToGrid w:val="false"/>
              <w:jc w:val="center"/>
              <w:rPr>
                <w:rFonts w:ascii="Arial" w:hAnsi="Arial" w:cs="Arial"/>
                <w:b/>
                <w:b/>
                <w:bCs/>
                <w:sz w:val="20"/>
                <w:szCs w:val="20"/>
              </w:rPr>
            </w:pPr>
            <w:r>
              <w:rPr>
                <w:rFonts w:cs="Arial" w:ascii="Arial" w:hAnsi="Arial"/>
                <w:b/>
                <w:bCs/>
                <w:sz w:val="20"/>
                <w:szCs w:val="20"/>
              </w:rPr>
              <w:t>(AxB)</w:t>
            </w:r>
          </w:p>
        </w:tc>
      </w:tr>
      <w:tr>
        <w:trPr/>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49</w:t>
            </w:r>
          </w:p>
        </w:tc>
        <w:tc>
          <w:tcPr>
            <w:tcW w:w="3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Elástico para dinheiro de 3mm pacote com 1200 un.</w:t>
            </w:r>
          </w:p>
        </w:tc>
        <w:tc>
          <w:tcPr>
            <w:tcW w:w="13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Kg</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01</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31,68</w:t>
            </w:r>
          </w:p>
        </w:tc>
        <w:tc>
          <w:tcPr>
            <w:tcW w:w="136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31,68</w:t>
            </w:r>
          </w:p>
        </w:tc>
      </w:tr>
      <w:tr>
        <w:trPr/>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50</w:t>
            </w:r>
          </w:p>
        </w:tc>
        <w:tc>
          <w:tcPr>
            <w:tcW w:w="3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Molde de silicone para bala com 20 a 25 cavidades</w:t>
            </w:r>
          </w:p>
        </w:tc>
        <w:tc>
          <w:tcPr>
            <w:tcW w:w="13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55,60</w:t>
            </w:r>
          </w:p>
        </w:tc>
        <w:tc>
          <w:tcPr>
            <w:tcW w:w="136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556,00</w:t>
            </w:r>
          </w:p>
        </w:tc>
      </w:tr>
      <w:tr>
        <w:trPr/>
        <w:tc>
          <w:tcPr>
            <w:tcW w:w="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51</w:t>
            </w:r>
          </w:p>
        </w:tc>
        <w:tc>
          <w:tcPr>
            <w:tcW w:w="34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atabela"/>
              <w:suppressAutoHyphens w:val="false"/>
              <w:snapToGrid w:val="false"/>
              <w:spacing w:lineRule="atLeast" w:line="100" w:before="0" w:after="113"/>
              <w:ind w:left="-10" w:right="5" w:hanging="0"/>
              <w:jc w:val="both"/>
              <w:rPr>
                <w:rFonts w:ascii="Arial" w:hAnsi="Arial" w:cs="Arial"/>
                <w:sz w:val="20"/>
                <w:szCs w:val="20"/>
              </w:rPr>
            </w:pPr>
            <w:r>
              <w:rPr>
                <w:rFonts w:cs="Arial" w:ascii="Arial" w:hAnsi="Arial"/>
                <w:sz w:val="20"/>
                <w:szCs w:val="20"/>
              </w:rPr>
              <w:t>Molde de silicone retangular anatômico para sabonete com 06 cavidades</w:t>
            </w:r>
          </w:p>
        </w:tc>
        <w:tc>
          <w:tcPr>
            <w:tcW w:w="13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uppressAutoHyphens w:val="false"/>
              <w:snapToGrid w:val="false"/>
              <w:spacing w:lineRule="atLeast" w:line="100" w:before="0" w:after="113"/>
              <w:jc w:val="center"/>
              <w:rPr>
                <w:rFonts w:ascii="Arial" w:hAnsi="Arial" w:cs="Arial"/>
                <w:sz w:val="20"/>
                <w:szCs w:val="20"/>
              </w:rPr>
            </w:pPr>
            <w:r>
              <w:rPr>
                <w:rFonts w:cs="Arial" w:ascii="Arial" w:hAnsi="Arial"/>
                <w:sz w:val="20"/>
                <w:szCs w:val="20"/>
              </w:rPr>
              <w:t>Unidade</w:t>
            </w:r>
          </w:p>
        </w:tc>
        <w:tc>
          <w:tcPr>
            <w:tcW w:w="11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45,49</w:t>
            </w:r>
          </w:p>
        </w:tc>
        <w:tc>
          <w:tcPr>
            <w:tcW w:w="136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5" w:type="dxa"/>
            </w:tcMar>
          </w:tcPr>
          <w:p>
            <w:pPr>
              <w:pStyle w:val="Contedodetabela"/>
              <w:snapToGrid w:val="false"/>
              <w:jc w:val="center"/>
              <w:rPr>
                <w:rFonts w:ascii="Arial" w:hAnsi="Arial" w:cs="Arial"/>
                <w:sz w:val="20"/>
                <w:szCs w:val="20"/>
              </w:rPr>
            </w:pPr>
            <w:r>
              <w:rPr>
                <w:rFonts w:cs="Arial" w:ascii="Arial" w:hAnsi="Arial"/>
                <w:sz w:val="20"/>
                <w:szCs w:val="20"/>
              </w:rPr>
              <w:t>454,90</w:t>
            </w:r>
          </w:p>
        </w:tc>
      </w:tr>
      <w:tr>
        <w:trPr/>
        <w:tc>
          <w:tcPr>
            <w:tcW w:w="7876"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Valor Total Estimado Para a Aquisição (R$)</w:t>
            </w:r>
          </w:p>
        </w:tc>
        <w:tc>
          <w:tcPr>
            <w:tcW w:w="1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1.042,58</w:t>
            </w:r>
          </w:p>
        </w:tc>
      </w:tr>
      <w:tr>
        <w:trPr/>
        <w:tc>
          <w:tcPr>
            <w:tcW w:w="7876"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00FFCC" w:val="clear"/>
            <w:tcMar>
              <w:left w:w="15" w:type="dxa"/>
            </w:tcMar>
          </w:tcPr>
          <w:p>
            <w:pPr>
              <w:pStyle w:val="Contedodetabela"/>
              <w:snapToGrid w:val="false"/>
              <w:jc w:val="center"/>
              <w:rPr>
                <w:rFonts w:ascii="Arial" w:hAnsi="Arial" w:cs="Arial"/>
                <w:b/>
                <w:b/>
                <w:bCs/>
                <w:sz w:val="20"/>
                <w:szCs w:val="20"/>
              </w:rPr>
            </w:pPr>
            <w:r>
              <w:rPr>
                <w:rFonts w:cs="Arial" w:ascii="Arial" w:hAnsi="Arial"/>
                <w:b/>
                <w:bCs/>
                <w:sz w:val="20"/>
                <w:szCs w:val="20"/>
              </w:rPr>
              <w:t>Total Estimado para Aquisição (Todos os Itens)</w:t>
            </w:r>
          </w:p>
        </w:tc>
        <w:tc>
          <w:tcPr>
            <w:tcW w:w="1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00" w:val="clear"/>
            <w:tcMar>
              <w:left w:w="15" w:type="dxa"/>
            </w:tcMar>
          </w:tcPr>
          <w:p>
            <w:pPr>
              <w:pStyle w:val="Contedodetabela"/>
              <w:snapToGrid w:val="false"/>
              <w:jc w:val="center"/>
              <w:rPr>
                <w:rFonts w:ascii="Arial" w:hAnsi="Arial" w:cs="Arial"/>
                <w:b/>
                <w:b/>
                <w:bCs/>
                <w:sz w:val="22"/>
                <w:szCs w:val="22"/>
              </w:rPr>
            </w:pPr>
            <w:r>
              <w:rPr>
                <w:rFonts w:cs="Arial" w:ascii="Arial" w:hAnsi="Arial"/>
                <w:b/>
                <w:bCs/>
                <w:sz w:val="20"/>
                <w:szCs w:val="20"/>
              </w:rPr>
              <w:t>294.170,33</w:t>
            </w:r>
          </w:p>
        </w:tc>
      </w:tr>
    </w:tbl>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rFonts w:cs="Arial"/>
          <w:b/>
          <w:b/>
        </w:rPr>
      </w:pPr>
      <w:r>
        <w:rPr>
          <w:rFonts w:cs="Arial"/>
          <w:b/>
        </w:rPr>
      </w:r>
    </w:p>
    <w:p>
      <w:pPr>
        <w:pStyle w:val="Normal"/>
        <w:jc w:val="center"/>
        <w:rPr>
          <w:szCs w:val="20"/>
        </w:rPr>
      </w:pPr>
      <w:r>
        <w:rPr>
          <w:rFonts w:cs="Arial"/>
          <w:b/>
          <w:szCs w:val="20"/>
        </w:rPr>
        <w:t>ANEXO II</w:t>
      </w:r>
    </w:p>
    <w:p>
      <w:pPr>
        <w:pStyle w:val="Normal"/>
        <w:ind w:left="0" w:right="-17" w:hanging="0"/>
        <w:jc w:val="center"/>
        <w:rPr>
          <w:rFonts w:ascii="Arial" w:hAnsi="Arial" w:cs="Arial"/>
          <w:b/>
          <w:b/>
          <w:sz w:val="20"/>
          <w:szCs w:val="20"/>
        </w:rPr>
      </w:pPr>
      <w:r>
        <w:rPr>
          <w:rFonts w:cs="Arial" w:ascii="Arial" w:hAnsi="Arial"/>
          <w:b/>
          <w:sz w:val="20"/>
          <w:szCs w:val="20"/>
        </w:rPr>
      </w:r>
    </w:p>
    <w:p>
      <w:pPr>
        <w:pStyle w:val="Normal"/>
        <w:ind w:left="0" w:right="-17" w:hanging="0"/>
        <w:jc w:val="center"/>
        <w:rPr>
          <w:rFonts w:ascii="Arial" w:hAnsi="Arial" w:cs="Arial"/>
          <w:b/>
          <w:b/>
          <w:sz w:val="20"/>
          <w:szCs w:val="20"/>
        </w:rPr>
      </w:pPr>
      <w:r>
        <w:rPr>
          <w:rFonts w:cs="Arial" w:ascii="Arial" w:hAnsi="Arial"/>
          <w:b/>
          <w:sz w:val="20"/>
          <w:szCs w:val="20"/>
        </w:rPr>
      </w:r>
    </w:p>
    <w:p>
      <w:pPr>
        <w:pStyle w:val="Normal"/>
        <w:ind w:left="0" w:right="-17" w:hanging="0"/>
        <w:jc w:val="center"/>
        <w:rPr/>
      </w:pPr>
      <w:r>
        <w:rPr>
          <w:rFonts w:cs="Arial" w:ascii="Arial" w:hAnsi="Arial"/>
          <w:b/>
          <w:sz w:val="20"/>
          <w:szCs w:val="20"/>
        </w:rPr>
        <w:t xml:space="preserve">TERMO DE CONTRATO – </w:t>
      </w:r>
      <w:r>
        <w:rPr>
          <w:rFonts w:cs="Arial" w:ascii="Arial" w:hAnsi="Arial"/>
          <w:b/>
          <w:sz w:val="20"/>
          <w:szCs w:val="20"/>
          <w:highlight w:val="yellow"/>
        </w:rPr>
        <w:t>COVID-19 (LEI 13.979/20)</w:t>
      </w:r>
    </w:p>
    <w:p>
      <w:pPr>
        <w:pStyle w:val="Normal"/>
        <w:ind w:left="0" w:right="-17" w:hanging="0"/>
        <w:jc w:val="center"/>
        <w:rPr>
          <w:rFonts w:ascii="Arial" w:hAnsi="Arial" w:cs="Arial"/>
          <w:b/>
          <w:b/>
          <w:sz w:val="20"/>
          <w:szCs w:val="20"/>
        </w:rPr>
      </w:pPr>
      <w:r>
        <w:rPr>
          <w:rFonts w:cs="Arial" w:ascii="Arial" w:hAnsi="Arial"/>
          <w:b/>
          <w:sz w:val="20"/>
          <w:szCs w:val="20"/>
        </w:rPr>
      </w:r>
    </w:p>
    <w:p>
      <w:pPr>
        <w:pStyle w:val="Normal"/>
        <w:ind w:left="0" w:right="-17" w:hanging="0"/>
        <w:jc w:val="center"/>
        <w:rPr>
          <w:rFonts w:ascii="Arial" w:hAnsi="Arial" w:cs="Arial"/>
          <w:b/>
          <w:b/>
          <w:sz w:val="20"/>
          <w:szCs w:val="20"/>
        </w:rPr>
      </w:pPr>
      <w:r>
        <w:rPr>
          <w:rFonts w:cs="Arial" w:ascii="Arial" w:hAnsi="Arial"/>
          <w:b/>
          <w:sz w:val="20"/>
          <w:szCs w:val="20"/>
        </w:rPr>
        <w:t>COMPRA</w:t>
      </w:r>
    </w:p>
    <w:p>
      <w:pPr>
        <w:pStyle w:val="Normal"/>
        <w:spacing w:lineRule="auto" w:line="276"/>
        <w:ind w:left="0" w:right="-17" w:hanging="0"/>
        <w:jc w:val="center"/>
        <w:rPr>
          <w:rFonts w:ascii="Arial" w:hAnsi="Arial" w:cs="Arial"/>
          <w:b/>
          <w:b/>
          <w:sz w:val="20"/>
          <w:szCs w:val="20"/>
        </w:rPr>
      </w:pPr>
      <w:r>
        <w:rPr>
          <w:rFonts w:cs="Arial" w:ascii="Arial" w:hAnsi="Arial"/>
          <w:b/>
          <w:sz w:val="20"/>
          <w:szCs w:val="20"/>
        </w:rPr>
      </w:r>
    </w:p>
    <w:p>
      <w:pPr>
        <w:pStyle w:val="Normal"/>
        <w:spacing w:lineRule="auto" w:line="276"/>
        <w:ind w:left="3969" w:right="-17" w:hanging="0"/>
        <w:jc w:val="both"/>
        <w:rPr/>
      </w:pPr>
      <w:r>
        <w:rPr>
          <w:rFonts w:cs="Arial" w:ascii="Arial" w:hAnsi="Arial"/>
          <w:b/>
          <w:sz w:val="20"/>
          <w:szCs w:val="20"/>
        </w:rPr>
        <w:t xml:space="preserve">TERMO DE CONTRATO DE COMPRA Nº </w:t>
      </w:r>
      <w:r>
        <w:rPr>
          <w:rFonts w:cs="Arial" w:ascii="Arial" w:hAnsi="Arial"/>
          <w:b/>
          <w:color w:val="FF0000"/>
          <w:sz w:val="20"/>
          <w:szCs w:val="20"/>
        </w:rPr>
        <w:t>......../....</w:t>
      </w:r>
      <w:r>
        <w:rPr>
          <w:rFonts w:cs="Arial" w:ascii="Arial" w:hAnsi="Arial"/>
          <w:b/>
          <w:sz w:val="20"/>
          <w:szCs w:val="20"/>
        </w:rPr>
        <w:t>, QUE FAZEM ENTRE SI O(A)</w:t>
      </w:r>
      <w:r>
        <w:rPr>
          <w:rFonts w:cs="Arial" w:ascii="Arial" w:hAnsi="Arial"/>
          <w:b/>
          <w:color w:val="FF0000"/>
          <w:sz w:val="20"/>
          <w:szCs w:val="20"/>
        </w:rPr>
        <w:t xml:space="preserve"> </w:t>
      </w:r>
      <w:r>
        <w:rPr>
          <w:rFonts w:cs="Arial" w:ascii="Arial" w:hAnsi="Arial"/>
          <w:b/>
          <w:color w:val="000000"/>
          <w:sz w:val="20"/>
          <w:szCs w:val="20"/>
        </w:rPr>
        <w:t>INSTITUTO FEDERAL DE EDUCAÇÃO, CIÊNCIA E TECNOLOGIA DO SERTÃO PERNAMBUCANO/REITORIA</w:t>
      </w:r>
      <w:r>
        <w:rPr>
          <w:rFonts w:cs="Arial" w:ascii="Arial" w:hAnsi="Arial"/>
          <w:b/>
          <w:sz w:val="20"/>
          <w:szCs w:val="20"/>
        </w:rPr>
        <w:t xml:space="preserve"> E A EMPRESA </w:t>
      </w:r>
      <w:r>
        <w:rPr>
          <w:rFonts w:cs="Arial" w:ascii="Arial" w:hAnsi="Arial"/>
          <w:b/>
          <w:color w:val="FF0000"/>
          <w:sz w:val="20"/>
          <w:szCs w:val="20"/>
        </w:rPr>
        <w:t xml:space="preserve">.............................................................  </w:t>
      </w:r>
    </w:p>
    <w:p>
      <w:pPr>
        <w:pStyle w:val="Normal"/>
        <w:spacing w:lineRule="auto" w:line="360" w:before="0" w:after="120"/>
        <w:ind w:left="0" w:right="-15" w:hanging="0"/>
        <w:jc w:val="both"/>
        <w:rPr>
          <w:rFonts w:ascii="Arial" w:hAnsi="Arial" w:cs="Arial"/>
          <w:b/>
          <w:b/>
          <w:color w:val="FF0000"/>
          <w:sz w:val="20"/>
          <w:szCs w:val="20"/>
        </w:rPr>
      </w:pPr>
      <w:r>
        <w:rPr>
          <w:rFonts w:cs="Arial" w:ascii="Arial" w:hAnsi="Arial"/>
          <w:b/>
          <w:color w:val="FF0000"/>
          <w:sz w:val="20"/>
          <w:szCs w:val="20"/>
        </w:rPr>
      </w:r>
    </w:p>
    <w:p>
      <w:pPr>
        <w:pStyle w:val="Normal"/>
        <w:spacing w:lineRule="auto" w:line="360" w:before="0" w:after="120"/>
        <w:ind w:left="0" w:right="-15" w:hanging="0"/>
        <w:jc w:val="both"/>
        <w:rPr>
          <w:rFonts w:ascii="Arial" w:hAnsi="Arial" w:cs="Arial"/>
          <w:b/>
          <w:b/>
          <w:color w:val="FF0000"/>
          <w:sz w:val="20"/>
          <w:szCs w:val="20"/>
        </w:rPr>
      </w:pPr>
      <w:r>
        <w:rPr>
          <w:rFonts w:cs="Arial" w:ascii="Arial" w:hAnsi="Arial"/>
          <w:b/>
          <w:color w:val="FF0000"/>
          <w:sz w:val="20"/>
          <w:szCs w:val="20"/>
        </w:rPr>
      </w:r>
    </w:p>
    <w:p>
      <w:pPr>
        <w:pStyle w:val="NormalWeb"/>
        <w:spacing w:lineRule="auto" w:line="360" w:before="280" w:after="280"/>
        <w:jc w:val="both"/>
        <w:rPr/>
      </w:pPr>
      <w:r>
        <w:rPr>
          <w:rFonts w:cs="Arial" w:ascii="Arial" w:hAnsi="Arial"/>
          <w:color w:val="000000"/>
          <w:sz w:val="20"/>
          <w:szCs w:val="20"/>
        </w:rPr>
        <w:t xml:space="preserve">O INSTITUTO FEDERAL DE EDUCAÇÃO, CIÊNCIA E TECNOLOGIA DO SERTÃO PERNAMBUCANO com sede na Rua Aristarco Lopes, 240, Centro, na cidade de Petrolina-PE, inscrito(a) no CNPJ/MF sob o nº 10.830.301/0001-04, neste ato representado(a) pela Magnífica Reitora Maria Leopoldina Veras Camelo, nomeado(a) pelo Decreto Presidencial de 12 de abril de 2016, publicada no DOU de 13 de abril de 2016, inscrito(a) no CPF sob o nº 524.252.073-68 portador(a) da Carteira de Identidade nº 10.258.413 SSP/CE, doravante denominada CONTRATANTE, e o(a) .............................. inscrito(a) no CNPJ/MF sob </w:t>
      </w:r>
      <w:r>
        <w:rPr>
          <w:rFonts w:cs="Arial" w:ascii="Arial" w:hAnsi="Arial"/>
          <w:sz w:val="20"/>
          <w:szCs w:val="20"/>
        </w:rPr>
        <w:t xml:space="preserve">o nº </w:t>
      </w:r>
      <w:r>
        <w:rPr>
          <w:rFonts w:cs="Arial" w:ascii="Arial" w:hAnsi="Arial"/>
          <w:color w:val="FF0000"/>
          <w:sz w:val="20"/>
          <w:szCs w:val="20"/>
        </w:rPr>
        <w:t>............................</w:t>
      </w:r>
      <w:r>
        <w:rPr>
          <w:rFonts w:cs="Arial" w:ascii="Arial" w:hAnsi="Arial"/>
          <w:sz w:val="20"/>
          <w:szCs w:val="20"/>
        </w:rPr>
        <w:t xml:space="preserve">, sediado(a) na </w:t>
      </w:r>
      <w:r>
        <w:rPr>
          <w:rFonts w:cs="Arial" w:ascii="Arial" w:hAnsi="Arial"/>
          <w:color w:val="FF0000"/>
          <w:sz w:val="20"/>
          <w:szCs w:val="20"/>
        </w:rPr>
        <w:t>...................................</w:t>
      </w:r>
      <w:r>
        <w:rPr>
          <w:rFonts w:cs="Arial" w:ascii="Arial" w:hAnsi="Arial"/>
          <w:sz w:val="20"/>
          <w:szCs w:val="20"/>
        </w:rPr>
        <w:t xml:space="preserve">, em </w:t>
      </w:r>
      <w:r>
        <w:rPr>
          <w:rFonts w:cs="Arial" w:ascii="Arial" w:hAnsi="Arial"/>
          <w:color w:val="FF0000"/>
          <w:sz w:val="20"/>
          <w:szCs w:val="20"/>
        </w:rPr>
        <w:t>.............................</w:t>
      </w:r>
      <w:r>
        <w:rPr>
          <w:rFonts w:cs="Arial" w:ascii="Arial" w:hAnsi="Arial"/>
          <w:sz w:val="20"/>
          <w:szCs w:val="20"/>
        </w:rPr>
        <w:t xml:space="preserve"> doravante designada CONTRATADA, neste ato representada pelo(a) Sr.(a) </w:t>
      </w:r>
      <w:r>
        <w:rPr>
          <w:rFonts w:cs="Arial" w:ascii="Arial" w:hAnsi="Arial"/>
          <w:color w:val="FF0000"/>
          <w:sz w:val="20"/>
          <w:szCs w:val="20"/>
        </w:rPr>
        <w:t>.....................</w:t>
      </w:r>
      <w:r>
        <w:rPr>
          <w:rFonts w:cs="Arial" w:ascii="Arial" w:hAnsi="Arial"/>
          <w:sz w:val="20"/>
          <w:szCs w:val="20"/>
        </w:rPr>
        <w:t xml:space="preserve">, portador(a) da Carteira de Identidade nº </w:t>
      </w:r>
      <w:r>
        <w:rPr>
          <w:rFonts w:cs="Arial" w:ascii="Arial" w:hAnsi="Arial"/>
          <w:color w:val="FF0000"/>
          <w:sz w:val="20"/>
          <w:szCs w:val="20"/>
        </w:rPr>
        <w:t>.................</w:t>
      </w:r>
      <w:r>
        <w:rPr>
          <w:rFonts w:cs="Arial" w:ascii="Arial" w:hAnsi="Arial"/>
          <w:sz w:val="20"/>
          <w:szCs w:val="20"/>
        </w:rPr>
        <w:t xml:space="preserve">, expedida pela (o) </w:t>
      </w:r>
      <w:r>
        <w:rPr>
          <w:rFonts w:cs="Arial" w:ascii="Arial" w:hAnsi="Arial"/>
          <w:color w:val="FF0000"/>
          <w:sz w:val="20"/>
          <w:szCs w:val="20"/>
        </w:rPr>
        <w:t>..................</w:t>
      </w:r>
      <w:r>
        <w:rPr>
          <w:rFonts w:cs="Arial" w:ascii="Arial" w:hAnsi="Arial"/>
          <w:sz w:val="20"/>
          <w:szCs w:val="20"/>
        </w:rPr>
        <w:t xml:space="preserve">, e CPF nº </w:t>
      </w:r>
      <w:r>
        <w:rPr>
          <w:rFonts w:cs="Arial" w:ascii="Arial" w:hAnsi="Arial"/>
          <w:color w:val="FF0000"/>
          <w:sz w:val="20"/>
          <w:szCs w:val="20"/>
        </w:rPr>
        <w:t>.........................</w:t>
      </w:r>
      <w:r>
        <w:rPr>
          <w:rFonts w:cs="Arial" w:ascii="Arial" w:hAnsi="Arial"/>
          <w:sz w:val="20"/>
          <w:szCs w:val="20"/>
        </w:rPr>
        <w:t xml:space="preserve">, tendo em vista o que consta no Processo nº </w:t>
      </w:r>
      <w:r>
        <w:rPr>
          <w:rFonts w:cs="Arial" w:ascii="Arial" w:hAnsi="Arial"/>
          <w:color w:val="FF0000"/>
          <w:sz w:val="20"/>
          <w:szCs w:val="20"/>
        </w:rPr>
        <w:t xml:space="preserve">.............................. </w:t>
      </w:r>
      <w:r>
        <w:rPr>
          <w:rFonts w:cs="Arial" w:ascii="Arial" w:hAnsi="Arial"/>
          <w:sz w:val="20"/>
          <w:szCs w:val="20"/>
        </w:rPr>
        <w:t xml:space="preserve">e em observância às disposições </w:t>
      </w:r>
      <w:r>
        <w:rPr>
          <w:rFonts w:cs="Arial" w:ascii="Arial" w:hAnsi="Arial"/>
          <w:sz w:val="20"/>
          <w:szCs w:val="20"/>
          <w:highlight w:val="yellow"/>
        </w:rPr>
        <w:t xml:space="preserve">da </w:t>
      </w:r>
      <w:r>
        <w:rPr>
          <w:rStyle w:val="Normaltextrun"/>
          <w:rFonts w:cs="Arial" w:ascii="Arial" w:hAnsi="Arial"/>
          <w:color w:val="000000"/>
          <w:sz w:val="20"/>
          <w:szCs w:val="20"/>
          <w:highlight w:val="yellow"/>
        </w:rPr>
        <w:t>Lei nº 13.979, de 6 de fevereiro de 2020, da Lei nº 8.666, de 21 de junho de 1993 e demais legislação aplicável, resolvem celebrar o presente Termo de Contrato, decorr</w:t>
      </w:r>
      <w:r>
        <w:rPr>
          <w:rStyle w:val="Normaltextrun"/>
          <w:rFonts w:cs="Arial" w:ascii="Arial" w:hAnsi="Arial"/>
          <w:b w:val="false"/>
          <w:bCs w:val="false"/>
          <w:color w:val="000000"/>
          <w:sz w:val="20"/>
          <w:szCs w:val="20"/>
          <w:highlight w:val="yellow"/>
        </w:rPr>
        <w:t>ente do</w:t>
      </w:r>
      <w:r>
        <w:rPr>
          <w:rStyle w:val="Normaltextrun"/>
          <w:rFonts w:cs="Arial" w:ascii="Arial" w:hAnsi="Arial"/>
          <w:b/>
          <w:bCs/>
          <w:color w:val="000000"/>
          <w:sz w:val="20"/>
          <w:szCs w:val="20"/>
          <w:highlight w:val="yellow"/>
        </w:rPr>
        <w:t xml:space="preserve"> Pregão Eletrônico nº  06/2020</w:t>
      </w:r>
      <w:r>
        <w:rPr>
          <w:rStyle w:val="Normaltextrun"/>
          <w:rFonts w:cs="Arial" w:ascii="Arial" w:hAnsi="Arial"/>
          <w:color w:val="000000"/>
          <w:sz w:val="20"/>
          <w:szCs w:val="20"/>
          <w:highlight w:val="yellow"/>
        </w:rPr>
        <w:t>, mediante as cláusulas e condições a seguir enunciadas.</w:t>
      </w:r>
      <w:r>
        <w:rPr>
          <w:rStyle w:val="Eop"/>
          <w:rFonts w:cs="Arial" w:ascii="Arial" w:hAnsi="Arial"/>
          <w:color w:val="000000"/>
          <w:sz w:val="20"/>
          <w:szCs w:val="20"/>
          <w:highlight w:val="white"/>
        </w:rPr>
        <w:t> </w:t>
      </w:r>
    </w:p>
    <w:p>
      <w:pPr>
        <w:pStyle w:val="Nivel011"/>
        <w:numPr>
          <w:ilvl w:val="0"/>
          <w:numId w:val="9"/>
        </w:numPr>
        <w:rPr>
          <w:rFonts w:ascii="Arial" w:hAnsi="Arial" w:cs="Arial"/>
        </w:rPr>
      </w:pPr>
      <w:r>
        <w:rPr>
          <w:rFonts w:cs="Arial" w:ascii="Arial" w:hAnsi="Arial"/>
        </w:rPr>
        <w:t>CLÁUSULA PRIMEIRA – OBJETO</w:t>
      </w:r>
    </w:p>
    <w:p>
      <w:pPr>
        <w:pStyle w:val="Nivel011"/>
        <w:numPr>
          <w:ilvl w:val="1"/>
          <w:numId w:val="9"/>
        </w:numPr>
        <w:rPr/>
      </w:pPr>
      <w:r>
        <w:rPr>
          <w:rFonts w:cs="Arial" w:ascii="Arial" w:hAnsi="Arial"/>
          <w:b w:val="false"/>
          <w:color w:val="000000"/>
        </w:rPr>
        <w:t xml:space="preserve">O objeto do presente Termo de Contrato é a aquisição de </w:t>
      </w:r>
      <w:r>
        <w:rPr>
          <w:rStyle w:val="Fontepargpadro"/>
          <w:rFonts w:cs="Arial" w:ascii="Arial" w:hAnsi="Arial"/>
          <w:b w:val="false"/>
          <w:color w:val="000000"/>
          <w:szCs w:val="20"/>
        </w:rPr>
        <w:t xml:space="preserve">O objeto da presente licitação é a </w:t>
      </w:r>
      <w:r>
        <w:rPr>
          <w:rStyle w:val="Fontepargpadro"/>
          <w:rFonts w:cs="Arial" w:ascii="Arial" w:hAnsi="Arial"/>
          <w:b/>
          <w:bCs/>
          <w:color w:val="000000"/>
          <w:szCs w:val="20"/>
        </w:rPr>
        <w:t>Aquisição de insumos(materiais e equipamentos)</w:t>
      </w:r>
      <w:r>
        <w:rPr>
          <w:rStyle w:val="Fontepargpadro"/>
          <w:rFonts w:cs="Arial" w:ascii="Arial" w:hAnsi="Arial"/>
          <w:b/>
          <w:color w:val="000000"/>
          <w:szCs w:val="20"/>
        </w:rPr>
        <w:t>,</w:t>
      </w:r>
      <w:r>
        <w:rPr>
          <w:rStyle w:val="Fontepargpadro"/>
          <w:rFonts w:cs="Arial" w:ascii="Arial" w:hAnsi="Arial"/>
          <w:b w:val="false"/>
          <w:color w:val="000000"/>
          <w:szCs w:val="20"/>
          <w:highlight w:val="yellow"/>
        </w:rPr>
        <w:t xml:space="preserve"> para fins de enfrentamento da emergência de saúde pública de importância internacional decorrente do novo coronavírus, causador da COVID-19</w:t>
      </w:r>
      <w:r>
        <w:rPr>
          <w:rFonts w:cs="Arial" w:ascii="Arial" w:hAnsi="Arial"/>
          <w:b w:val="false"/>
          <w:color w:val="000000"/>
        </w:rPr>
        <w:t xml:space="preserve">, conforme especificações e quantitativos estabelecidos no </w:t>
      </w:r>
      <w:r>
        <w:rPr>
          <w:rFonts w:cs="Arial" w:ascii="Arial" w:hAnsi="Arial"/>
          <w:b w:val="false"/>
          <w:color w:val="000000"/>
          <w:highlight w:val="yellow"/>
        </w:rPr>
        <w:t>Termo de Referência.</w:t>
      </w:r>
      <w:r>
        <w:rPr>
          <w:rFonts w:cs="Arial" w:ascii="Arial" w:hAnsi="Arial"/>
          <w:b w:val="false"/>
          <w:color w:val="000000"/>
        </w:rPr>
        <w:t xml:space="preserve"> </w:t>
      </w:r>
    </w:p>
    <w:p>
      <w:pPr>
        <w:pStyle w:val="Nivel011"/>
        <w:numPr>
          <w:ilvl w:val="1"/>
          <w:numId w:val="9"/>
        </w:numPr>
        <w:rPr>
          <w:rFonts w:ascii="Arial" w:hAnsi="Arial" w:cs="Arial"/>
          <w:b w:val="false"/>
          <w:b w:val="false"/>
          <w:i w:val="false"/>
          <w:i w:val="false"/>
          <w:iCs w:val="false"/>
          <w:color w:val="000000"/>
        </w:rPr>
      </w:pPr>
      <w:r>
        <w:rPr>
          <w:rFonts w:cs="Arial" w:ascii="Arial" w:hAnsi="Arial"/>
          <w:b w:val="false"/>
          <w:i w:val="false"/>
          <w:iCs w:val="false"/>
          <w:color w:val="000000"/>
        </w:rPr>
        <w:t>Este Termo de Contrato vincula-se ao Edital do Pregão, identificado no preâmbulo e à proposta vencedora, independentemente de transcrição.</w:t>
      </w:r>
    </w:p>
    <w:p>
      <w:pPr>
        <w:pStyle w:val="Nivel011"/>
        <w:numPr>
          <w:ilvl w:val="1"/>
          <w:numId w:val="9"/>
        </w:numPr>
        <w:rPr>
          <w:rFonts w:ascii="Arial" w:hAnsi="Arial" w:cs="Arial"/>
          <w:b w:val="false"/>
          <w:b w:val="false"/>
          <w:color w:val="000000"/>
        </w:rPr>
      </w:pPr>
      <w:r>
        <w:rPr>
          <w:rFonts w:cs="Arial" w:ascii="Arial" w:hAnsi="Arial"/>
          <w:b w:val="false"/>
          <w:color w:val="000000"/>
        </w:rPr>
        <w:t>Discriminação do objeto:</w:t>
      </w:r>
    </w:p>
    <w:p>
      <w:pPr>
        <w:pStyle w:val="Nivel011"/>
        <w:ind w:left="142" w:right="0" w:hanging="0"/>
        <w:rPr>
          <w:rFonts w:ascii="Arial" w:hAnsi="Arial" w:cs="Arial"/>
          <w:b w:val="false"/>
          <w:b w:val="false"/>
          <w:color w:val="000000"/>
        </w:rPr>
      </w:pPr>
      <w:r>
        <w:rPr>
          <w:rFonts w:cs="Arial" w:ascii="Arial" w:hAnsi="Arial"/>
          <w:b w:val="false"/>
          <w:color w:val="000000"/>
        </w:rPr>
      </w:r>
    </w:p>
    <w:tbl>
      <w:tblPr>
        <w:tblW w:w="9294" w:type="dxa"/>
        <w:jc w:val="left"/>
        <w:tblInd w:w="2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83"/>
        <w:gridCol w:w="2062"/>
        <w:gridCol w:w="1814"/>
        <w:gridCol w:w="1416"/>
        <w:gridCol w:w="1489"/>
        <w:gridCol w:w="1429"/>
      </w:tblGrid>
      <w:tr>
        <w:trPr>
          <w:trHeight w:val="693" w:hRule="atLeast"/>
        </w:trPr>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ITEM</w:t>
            </w:r>
          </w:p>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r>
          </w:p>
        </w:tc>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DESCRIÇÃO/</w:t>
            </w:r>
          </w:p>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ESPECIFICAÇÃO</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IDENTIFICAÇÃO CATMAT</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UNIDADE DE MEDIDA</w:t>
            </w:r>
          </w:p>
        </w:tc>
        <w:tc>
          <w:tcPr>
            <w:tcW w:w="1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QUANTIDADE</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bCs/>
                <w:color w:val="000000"/>
                <w:sz w:val="20"/>
                <w:szCs w:val="20"/>
              </w:rPr>
            </w:pPr>
            <w:r>
              <w:rPr>
                <w:rFonts w:cs="Arial" w:ascii="Arial" w:hAnsi="Arial"/>
                <w:b/>
                <w:bCs/>
                <w:color w:val="000000"/>
                <w:sz w:val="20"/>
                <w:szCs w:val="20"/>
              </w:rPr>
              <w:t>VALOR</w:t>
            </w:r>
          </w:p>
        </w:tc>
      </w:tr>
      <w:tr>
        <w:trPr>
          <w:trHeight w:val="354" w:hRule="atLeast"/>
        </w:trPr>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1</w:t>
            </w:r>
          </w:p>
        </w:tc>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39" w:hRule="atLeast"/>
        </w:trPr>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2</w:t>
            </w:r>
          </w:p>
        </w:tc>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39" w:hRule="atLeast"/>
        </w:trPr>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3</w:t>
            </w:r>
          </w:p>
        </w:tc>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r>
        <w:trPr>
          <w:trHeight w:val="354" w:hRule="atLeast"/>
        </w:trPr>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jc w:val="center"/>
              <w:rPr>
                <w:rFonts w:ascii="Arial" w:hAnsi="Arial" w:cs="Arial"/>
                <w:b/>
                <w:b/>
                <w:color w:val="000000"/>
                <w:sz w:val="20"/>
                <w:szCs w:val="20"/>
              </w:rPr>
            </w:pPr>
            <w:r>
              <w:rPr>
                <w:rFonts w:cs="Arial" w:ascii="Arial" w:hAnsi="Arial"/>
                <w:b/>
                <w:color w:val="000000"/>
                <w:sz w:val="20"/>
                <w:szCs w:val="20"/>
              </w:rPr>
              <w:t>...</w:t>
            </w:r>
          </w:p>
        </w:tc>
        <w:tc>
          <w:tcPr>
            <w:tcW w:w="2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uppressAutoHyphens w:val="true"/>
              <w:spacing w:lineRule="auto" w:line="276" w:before="0" w:after="120"/>
              <w:rPr>
                <w:rFonts w:ascii="Arial" w:hAnsi="Arial" w:cs="Arial"/>
                <w:color w:val="000000"/>
                <w:sz w:val="20"/>
                <w:szCs w:val="20"/>
              </w:rPr>
            </w:pPr>
            <w:r>
              <w:rPr>
                <w:rFonts w:cs="Arial" w:ascii="Arial" w:hAnsi="Arial"/>
                <w:color w:val="000000"/>
                <w:sz w:val="20"/>
                <w:szCs w:val="20"/>
              </w:rPr>
            </w:r>
          </w:p>
        </w:tc>
      </w:tr>
    </w:tbl>
    <w:p>
      <w:pPr>
        <w:pStyle w:val="Nivel011"/>
        <w:numPr>
          <w:ilvl w:val="0"/>
          <w:numId w:val="9"/>
        </w:numPr>
        <w:rPr>
          <w:rFonts w:ascii="Arial" w:hAnsi="Arial" w:cs="Arial"/>
        </w:rPr>
      </w:pPr>
      <w:r>
        <w:rPr>
          <w:rFonts w:cs="Arial" w:ascii="Arial" w:hAnsi="Arial"/>
        </w:rPr>
        <w:t>CLÁUSULA SEGUNDA – VIGÊNCIA</w:t>
      </w:r>
    </w:p>
    <w:p>
      <w:pPr>
        <w:pStyle w:val="Normal"/>
        <w:numPr>
          <w:ilvl w:val="1"/>
          <w:numId w:val="9"/>
        </w:numPr>
        <w:spacing w:lineRule="auto" w:line="276" w:before="120" w:after="120"/>
        <w:ind w:left="425" w:right="0" w:hanging="0"/>
        <w:jc w:val="both"/>
        <w:rPr/>
      </w:pPr>
      <w:r>
        <w:rPr>
          <w:rFonts w:cs="Arial" w:ascii="Arial" w:hAnsi="Arial"/>
          <w:bCs/>
          <w:iCs/>
          <w:sz w:val="20"/>
          <w:szCs w:val="20"/>
          <w:highlight w:val="yellow"/>
        </w:rPr>
        <w:t xml:space="preserve">O prazo de vigência deste Termo de Contrato é de </w:t>
      </w:r>
      <w:r>
        <w:rPr>
          <w:rFonts w:cs="Arial" w:ascii="Arial" w:hAnsi="Arial"/>
          <w:b/>
          <w:bCs/>
          <w:i/>
          <w:color w:val="000000"/>
          <w:sz w:val="20"/>
          <w:szCs w:val="20"/>
          <w:highlight w:val="yellow"/>
        </w:rPr>
        <w:t xml:space="preserve"> 6(seis) meses</w:t>
      </w:r>
      <w:r>
        <w:rPr>
          <w:rFonts w:cs="Arial" w:ascii="Arial" w:hAnsi="Arial"/>
          <w:bCs/>
          <w:iCs/>
          <w:sz w:val="20"/>
          <w:szCs w:val="20"/>
          <w:highlight w:val="yellow"/>
        </w:rPr>
        <w:t xml:space="preserve">, com início na data de </w:t>
      </w:r>
      <w:r>
        <w:rPr>
          <w:rFonts w:cs="Arial" w:ascii="Arial" w:hAnsi="Arial"/>
          <w:bCs/>
          <w:iCs/>
          <w:color w:val="FF0000"/>
          <w:sz w:val="20"/>
          <w:szCs w:val="20"/>
          <w:highlight w:val="yellow"/>
        </w:rPr>
        <w:t>____/____/______</w:t>
      </w:r>
      <w:r>
        <w:rPr>
          <w:rFonts w:cs="Arial" w:ascii="Arial" w:hAnsi="Arial"/>
          <w:bCs/>
          <w:iCs/>
          <w:sz w:val="20"/>
          <w:szCs w:val="20"/>
          <w:highlight w:val="yellow"/>
        </w:rPr>
        <w:t xml:space="preserve"> e encerramento em </w:t>
      </w:r>
      <w:r>
        <w:rPr>
          <w:rFonts w:cs="Arial" w:ascii="Arial" w:hAnsi="Arial"/>
          <w:bCs/>
          <w:iCs/>
          <w:color w:val="FF0000"/>
          <w:sz w:val="20"/>
          <w:szCs w:val="20"/>
          <w:highlight w:val="yellow"/>
        </w:rPr>
        <w:t>____/____/______</w:t>
      </w:r>
      <w:r>
        <w:rPr>
          <w:rFonts w:cs="Arial" w:ascii="Arial" w:hAnsi="Arial"/>
          <w:bCs/>
          <w:iCs/>
          <w:sz w:val="20"/>
          <w:szCs w:val="20"/>
          <w:highlight w:val="yellow"/>
        </w:rPr>
        <w:t xml:space="preserve">, prorrogável por períodos sucessivos, enquanto perdurar a necessidade de enfrentamento dos efeitos da situação de emergência de saúde pública de importância internacional, declarada por meio da Portaria </w:t>
      </w:r>
      <w:r>
        <w:rPr>
          <w:rFonts w:cs="Arial" w:ascii="Arial" w:hAnsi="Arial"/>
          <w:color w:val="000000"/>
          <w:sz w:val="20"/>
          <w:szCs w:val="20"/>
          <w:highlight w:val="yellow"/>
        </w:rPr>
        <w:t>nº 188, de 3 de fevereiro de 2020, do Sr. Ministro de Estado da Saúde</w:t>
      </w:r>
      <w:r>
        <w:rPr>
          <w:rFonts w:cs="Arial" w:ascii="Arial" w:hAnsi="Arial"/>
          <w:bCs/>
          <w:iCs/>
          <w:sz w:val="20"/>
          <w:szCs w:val="20"/>
          <w:highlight w:val="yellow"/>
        </w:rPr>
        <w:t>.</w:t>
      </w:r>
    </w:p>
    <w:p>
      <w:pPr>
        <w:pStyle w:val="Quote"/>
        <w:shd w:val="clear" w:fill="FFFFCC"/>
        <w:rPr/>
      </w:pPr>
      <w:r>
        <w:rPr>
          <w:rFonts w:cs="Arial"/>
          <w:b/>
          <w:szCs w:val="20"/>
          <w:highlight w:val="yellow"/>
        </w:rPr>
        <w:t xml:space="preserve">Nota Explicativa 1: </w:t>
      </w:r>
      <w:r>
        <w:rPr>
          <w:rFonts w:cs="Arial"/>
          <w:bCs/>
          <w:szCs w:val="20"/>
          <w:highlight w:val="yellow"/>
        </w:rPr>
        <w:t xml:space="preserve">Uma vez cessada a </w:t>
      </w:r>
      <w:r>
        <w:rPr>
          <w:rFonts w:cs="Arial"/>
          <w:szCs w:val="20"/>
          <w:highlight w:val="yellow"/>
        </w:rPr>
        <w:t>necessidade de enfrentamento dos efeitos da situação de emergência de saúde pública, o contrato não poderá mais ser prorrogado, mantendo os seus efeitos até o fim do seu prazo de vigência, conforme art. 8º da Lei nº 13.979/20.</w:t>
      </w:r>
    </w:p>
    <w:p>
      <w:pPr>
        <w:pStyle w:val="Quote"/>
        <w:shd w:val="clear" w:fill="FFFFCC"/>
        <w:rPr/>
      </w:pPr>
      <w:r>
        <w:rPr>
          <w:rFonts w:cs="Arial"/>
          <w:b/>
          <w:szCs w:val="20"/>
        </w:rPr>
        <w:t>Nota Explicativa 2</w:t>
      </w:r>
      <w:r>
        <w:rPr>
          <w:rFonts w:cs="Arial"/>
          <w:szCs w:val="20"/>
        </w:rPr>
        <w:t xml:space="preserve">: Deve-se observar que a vigência do contrato poderá ultrapassar o exercício financeiro, desde que as despesas referentes à contratação sejam integralmente empenhadas até 31 de dezembro, para fins de inscrição em restos a pagar, conforme Orientação Normativa AGU n° 39, de 13/12/2011. </w:t>
      </w:r>
    </w:p>
    <w:p>
      <w:pPr>
        <w:pStyle w:val="Nivel011"/>
        <w:numPr>
          <w:ilvl w:val="0"/>
          <w:numId w:val="9"/>
        </w:numPr>
        <w:rPr>
          <w:rFonts w:ascii="Arial" w:hAnsi="Arial" w:cs="Arial"/>
        </w:rPr>
      </w:pPr>
      <w:r>
        <w:rPr>
          <w:rFonts w:cs="Arial" w:ascii="Arial" w:hAnsi="Arial"/>
        </w:rPr>
        <w:t>CLÁUSULA TERCEIRA – PREÇO</w:t>
      </w:r>
    </w:p>
    <w:p>
      <w:pPr>
        <w:pStyle w:val="Normal"/>
        <w:numPr>
          <w:ilvl w:val="1"/>
          <w:numId w:val="9"/>
        </w:numPr>
        <w:spacing w:lineRule="auto" w:line="276" w:before="120" w:after="120"/>
        <w:ind w:left="425" w:right="0" w:hanging="0"/>
        <w:jc w:val="both"/>
        <w:rPr/>
      </w:pPr>
      <w:r>
        <w:rPr>
          <w:rFonts w:cs="Arial" w:ascii="Arial" w:hAnsi="Arial"/>
          <w:color w:val="000000"/>
          <w:sz w:val="20"/>
          <w:szCs w:val="20"/>
        </w:rPr>
        <w:t xml:space="preserve">O valor do presente Termo de Contrato é de R$ </w:t>
      </w:r>
      <w:r>
        <w:rPr>
          <w:rFonts w:cs="Arial" w:ascii="Arial" w:hAnsi="Arial"/>
          <w:color w:val="FF0000"/>
          <w:sz w:val="20"/>
          <w:szCs w:val="20"/>
        </w:rPr>
        <w:t>............</w:t>
      </w:r>
      <w:r>
        <w:rPr>
          <w:rFonts w:cs="Arial" w:ascii="Arial" w:hAnsi="Arial"/>
          <w:color w:val="000000"/>
          <w:sz w:val="20"/>
          <w:szCs w:val="20"/>
        </w:rPr>
        <w:t xml:space="preserve"> (</w:t>
      </w:r>
      <w:r>
        <w:rPr>
          <w:rFonts w:cs="Arial" w:ascii="Arial" w:hAnsi="Arial"/>
          <w:color w:val="FF0000"/>
          <w:sz w:val="20"/>
          <w:szCs w:val="20"/>
        </w:rPr>
        <w:t>...............</w:t>
      </w:r>
      <w:r>
        <w:rPr>
          <w:rFonts w:cs="Arial" w:ascii="Arial" w:hAnsi="Arial"/>
          <w:color w:val="000000"/>
          <w:sz w:val="20"/>
          <w:szCs w:val="20"/>
        </w:rPr>
        <w:t>)</w:t>
      </w:r>
      <w:r>
        <w:rPr>
          <w:rFonts w:cs="Arial" w:ascii="Arial" w:hAnsi="Arial"/>
          <w:b/>
          <w:bCs/>
          <w:color w:val="000000"/>
          <w:sz w:val="20"/>
          <w:szCs w:val="20"/>
        </w:rPr>
        <w:t>.</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Nivel011"/>
        <w:numPr>
          <w:ilvl w:val="0"/>
          <w:numId w:val="9"/>
        </w:numPr>
        <w:rPr>
          <w:rFonts w:ascii="Arial" w:hAnsi="Arial" w:cs="Arial"/>
        </w:rPr>
      </w:pPr>
      <w:r>
        <w:rPr>
          <w:rFonts w:cs="Arial" w:ascii="Arial" w:hAnsi="Arial"/>
        </w:rPr>
        <w:t>CLÁUSULA QUARTA – DOTAÇÃO ORÇAMENTÁRIA</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As despesas decorrentes desta contratação estão programadas em dotação orçamentária própria, prevista no orçamento da União, para o exercício de </w:t>
      </w:r>
      <w:r>
        <w:rPr>
          <w:rFonts w:cs="Arial" w:ascii="Arial" w:hAnsi="Arial"/>
          <w:i/>
          <w:color w:val="FF0000"/>
          <w:sz w:val="20"/>
          <w:szCs w:val="20"/>
        </w:rPr>
        <w:t>20</w:t>
      </w:r>
      <w:r>
        <w:rPr>
          <w:rFonts w:cs="Arial" w:ascii="Arial" w:hAnsi="Arial"/>
          <w:color w:val="FF0000"/>
          <w:sz w:val="20"/>
          <w:szCs w:val="20"/>
        </w:rPr>
        <w:t>....,</w:t>
      </w:r>
      <w:r>
        <w:rPr>
          <w:rFonts w:cs="Arial" w:ascii="Arial" w:hAnsi="Arial"/>
          <w:sz w:val="20"/>
          <w:szCs w:val="20"/>
        </w:rPr>
        <w:t xml:space="preserve"> na classificação abaixo:</w:t>
      </w:r>
    </w:p>
    <w:p>
      <w:pPr>
        <w:pStyle w:val="Normal"/>
        <w:spacing w:lineRule="auto" w:line="276" w:before="120" w:after="120"/>
        <w:ind w:left="1134" w:right="0" w:hanging="0"/>
        <w:jc w:val="both"/>
        <w:rPr>
          <w:rFonts w:ascii="Arial" w:hAnsi="Arial" w:cs="Arial"/>
          <w:sz w:val="20"/>
          <w:szCs w:val="20"/>
        </w:rPr>
      </w:pPr>
      <w:r>
        <w:rPr>
          <w:rFonts w:cs="Arial" w:ascii="Arial" w:hAnsi="Arial"/>
          <w:sz w:val="20"/>
          <w:szCs w:val="20"/>
        </w:rPr>
        <w:t>Gestão/Unidade:</w:t>
      </w:r>
    </w:p>
    <w:p>
      <w:pPr>
        <w:pStyle w:val="Normal"/>
        <w:spacing w:lineRule="auto" w:line="276" w:before="120" w:after="120"/>
        <w:ind w:left="1134" w:right="0" w:hanging="0"/>
        <w:jc w:val="both"/>
        <w:rPr>
          <w:rFonts w:ascii="Arial" w:hAnsi="Arial" w:cs="Arial"/>
          <w:sz w:val="20"/>
          <w:szCs w:val="20"/>
        </w:rPr>
      </w:pPr>
      <w:r>
        <w:rPr>
          <w:rFonts w:cs="Arial" w:ascii="Arial" w:hAnsi="Arial"/>
          <w:sz w:val="20"/>
          <w:szCs w:val="20"/>
        </w:rPr>
        <w:t xml:space="preserve">Fonte: </w:t>
      </w:r>
    </w:p>
    <w:p>
      <w:pPr>
        <w:pStyle w:val="Normal"/>
        <w:spacing w:lineRule="auto" w:line="276" w:before="120" w:after="120"/>
        <w:ind w:left="1134" w:right="0" w:hanging="0"/>
        <w:jc w:val="both"/>
        <w:rPr>
          <w:rFonts w:ascii="Arial" w:hAnsi="Arial" w:cs="Arial"/>
          <w:sz w:val="20"/>
          <w:szCs w:val="20"/>
        </w:rPr>
      </w:pPr>
      <w:r>
        <w:rPr>
          <w:rFonts w:cs="Arial" w:ascii="Arial" w:hAnsi="Arial"/>
          <w:sz w:val="20"/>
          <w:szCs w:val="20"/>
        </w:rPr>
        <w:t>Programa de Trabalho:</w:t>
      </w:r>
    </w:p>
    <w:p>
      <w:pPr>
        <w:pStyle w:val="Normal"/>
        <w:spacing w:lineRule="auto" w:line="276" w:before="120" w:after="120"/>
        <w:ind w:left="1134" w:right="0" w:hanging="0"/>
        <w:jc w:val="both"/>
        <w:rPr>
          <w:rFonts w:ascii="Arial" w:hAnsi="Arial" w:cs="Arial"/>
          <w:sz w:val="20"/>
          <w:szCs w:val="20"/>
        </w:rPr>
      </w:pPr>
      <w:r>
        <w:rPr>
          <w:rFonts w:cs="Arial" w:ascii="Arial" w:hAnsi="Arial"/>
          <w:sz w:val="20"/>
          <w:szCs w:val="20"/>
        </w:rPr>
        <w:t>Elemento de Despesa:</w:t>
      </w:r>
    </w:p>
    <w:p>
      <w:pPr>
        <w:pStyle w:val="Normal"/>
        <w:spacing w:lineRule="auto" w:line="276" w:before="120" w:after="120"/>
        <w:ind w:left="1134" w:right="0" w:hanging="0"/>
        <w:jc w:val="both"/>
        <w:rPr>
          <w:rFonts w:ascii="Arial" w:hAnsi="Arial" w:cs="Arial"/>
          <w:sz w:val="20"/>
          <w:szCs w:val="20"/>
        </w:rPr>
      </w:pPr>
      <w:r>
        <w:rPr>
          <w:rFonts w:cs="Arial" w:ascii="Arial" w:hAnsi="Arial"/>
          <w:sz w:val="20"/>
          <w:szCs w:val="20"/>
        </w:rPr>
        <w:t>PI:</w:t>
      </w:r>
    </w:p>
    <w:p>
      <w:pPr>
        <w:pStyle w:val="Nivel011"/>
        <w:numPr>
          <w:ilvl w:val="0"/>
          <w:numId w:val="9"/>
        </w:numPr>
        <w:rPr>
          <w:rFonts w:ascii="Arial" w:hAnsi="Arial" w:cs="Arial"/>
        </w:rPr>
      </w:pPr>
      <w:r>
        <w:rPr>
          <w:rFonts w:cs="Arial" w:ascii="Arial" w:hAnsi="Arial"/>
        </w:rPr>
        <w:t>CLÁUSULA QUINTA – PAGAMENTO</w:t>
      </w:r>
    </w:p>
    <w:p>
      <w:pPr>
        <w:pStyle w:val="Normal"/>
        <w:numPr>
          <w:ilvl w:val="1"/>
          <w:numId w:val="9"/>
        </w:numPr>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O prazo para pagamento e demais condições a ele referentes encontram-se no Termo de Referência.</w:t>
      </w:r>
    </w:p>
    <w:p>
      <w:pPr>
        <w:pStyle w:val="Nivel011"/>
        <w:numPr>
          <w:ilvl w:val="0"/>
          <w:numId w:val="9"/>
        </w:numPr>
        <w:rPr>
          <w:color w:val="000000"/>
        </w:rPr>
      </w:pPr>
      <w:r>
        <w:rPr>
          <w:rFonts w:cs="Arial" w:ascii="Arial" w:hAnsi="Arial"/>
          <w:smallCaps/>
          <w:color w:val="000000"/>
        </w:rPr>
        <w:t>CLÁUSULA SEXTA</w:t>
      </w:r>
      <w:r>
        <w:rPr>
          <w:rFonts w:cs="Arial" w:ascii="Arial" w:hAnsi="Arial"/>
          <w:color w:val="000000"/>
        </w:rPr>
        <w:t xml:space="preserve"> </w:t>
      </w:r>
      <w:r>
        <w:rPr>
          <w:rFonts w:cs="Arial" w:ascii="Arial" w:hAnsi="Arial"/>
          <w:smallCaps/>
          <w:color w:val="000000"/>
        </w:rPr>
        <w:t>–</w:t>
      </w:r>
      <w:r>
        <w:rPr>
          <w:rFonts w:cs="Arial" w:ascii="Arial" w:hAnsi="Arial"/>
          <w:color w:val="000000"/>
        </w:rPr>
        <w:t xml:space="preserve"> REAJUSTE </w:t>
      </w:r>
    </w:p>
    <w:p>
      <w:pPr>
        <w:pStyle w:val="Normal"/>
        <w:numPr>
          <w:ilvl w:val="1"/>
          <w:numId w:val="9"/>
        </w:numPr>
        <w:spacing w:lineRule="auto" w:line="276" w:before="120" w:after="120"/>
        <w:ind w:left="425" w:right="0" w:hanging="0"/>
        <w:jc w:val="both"/>
        <w:rPr>
          <w:color w:val="000000"/>
        </w:rPr>
      </w:pPr>
      <w:r>
        <w:rPr>
          <w:rFonts w:cs="Arial" w:ascii="Arial" w:hAnsi="Arial"/>
          <w:color w:val="000000"/>
          <w:sz w:val="20"/>
          <w:szCs w:val="20"/>
        </w:rPr>
        <w:t xml:space="preserve">As regras </w:t>
      </w:r>
      <w:r>
        <w:rPr>
          <w:rFonts w:eastAsia="Arial" w:cs="Arial" w:ascii="Arial" w:hAnsi="Arial"/>
          <w:color w:val="000000"/>
          <w:sz w:val="20"/>
          <w:szCs w:val="20"/>
        </w:rPr>
        <w:t>acerca</w:t>
      </w:r>
      <w:r>
        <w:rPr>
          <w:rFonts w:cs="Arial" w:ascii="Arial" w:hAnsi="Arial"/>
          <w:color w:val="000000"/>
          <w:sz w:val="20"/>
          <w:szCs w:val="20"/>
        </w:rPr>
        <w:t xml:space="preserve"> do reajuste do valor contratual são as estabelecidas no Termo de Referência, anexo a este Contrato.</w:t>
      </w:r>
    </w:p>
    <w:p>
      <w:pPr>
        <w:pStyle w:val="Nivel011"/>
        <w:numPr>
          <w:ilvl w:val="0"/>
          <w:numId w:val="9"/>
        </w:numPr>
        <w:rPr>
          <w:rFonts w:ascii="Arial" w:hAnsi="Arial" w:cs="Arial"/>
          <w:i w:val="false"/>
          <w:i w:val="false"/>
          <w:iCs w:val="false"/>
          <w:color w:val="000000"/>
        </w:rPr>
      </w:pPr>
      <w:r>
        <w:rPr>
          <w:rFonts w:cs="Arial" w:ascii="Arial" w:hAnsi="Arial"/>
          <w:i w:val="false"/>
          <w:iCs w:val="false"/>
          <w:color w:val="000000"/>
        </w:rPr>
        <w:t>CLÁUSULA SÉTIMA – GARANTIA DE EXECUÇÃO</w:t>
      </w:r>
    </w:p>
    <w:p>
      <w:pPr>
        <w:pStyle w:val="Normal"/>
        <w:numPr>
          <w:ilvl w:val="1"/>
          <w:numId w:val="9"/>
        </w:numPr>
        <w:spacing w:lineRule="auto" w:line="276" w:before="120" w:after="120"/>
        <w:ind w:left="425"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Não haverá exigência de garantia de execução para a presente contratação.</w:t>
      </w:r>
    </w:p>
    <w:p>
      <w:pPr>
        <w:pStyle w:val="Nivel011"/>
        <w:numPr>
          <w:ilvl w:val="0"/>
          <w:numId w:val="9"/>
        </w:numPr>
        <w:rPr>
          <w:rFonts w:ascii="Arial" w:hAnsi="Arial" w:cs="Arial"/>
        </w:rPr>
      </w:pPr>
      <w:r>
        <w:rPr>
          <w:rFonts w:cs="Arial" w:ascii="Arial" w:hAnsi="Arial"/>
        </w:rPr>
        <w:t>CLÁUSULA OITAVA - ENTREGA E RECEBIMENTO DO OBJETO</w:t>
      </w:r>
    </w:p>
    <w:p>
      <w:pPr>
        <w:pStyle w:val="Normal"/>
        <w:numPr>
          <w:ilvl w:val="1"/>
          <w:numId w:val="9"/>
        </w:numPr>
        <w:spacing w:lineRule="auto" w:line="276" w:before="120" w:after="120"/>
        <w:ind w:left="425" w:right="0" w:hanging="0"/>
        <w:jc w:val="both"/>
        <w:rPr>
          <w:rFonts w:ascii="Arial" w:hAnsi="Arial" w:cs="Arial"/>
          <w:sz w:val="20"/>
        </w:rPr>
      </w:pPr>
      <w:r>
        <w:rPr>
          <w:rFonts w:cs="Arial" w:ascii="Arial" w:hAnsi="Arial"/>
          <w:sz w:val="20"/>
        </w:rPr>
        <w:t>As condições de entrega e recebimento do objeto são aquelas previstas no Termo de Referência, anexo ao Edital.</w:t>
      </w:r>
    </w:p>
    <w:p>
      <w:pPr>
        <w:pStyle w:val="Nivel011"/>
        <w:numPr>
          <w:ilvl w:val="0"/>
          <w:numId w:val="9"/>
        </w:numPr>
        <w:rPr>
          <w:rFonts w:ascii="Arial" w:hAnsi="Arial" w:cs="Arial"/>
        </w:rPr>
      </w:pPr>
      <w:r>
        <w:rPr>
          <w:rFonts w:cs="Arial" w:ascii="Arial" w:hAnsi="Arial"/>
        </w:rPr>
        <w:t>CLÁUSULA NONA - FISCALIZAÇÃO</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A fiscalização da execução do objeto será efetuada por Comissão/Representante designado pela CONTRATANTE, na forma estabelecida no Termo de Referência, </w:t>
      </w:r>
      <w:r>
        <w:rPr>
          <w:rFonts w:cs="Arial" w:ascii="Arial" w:hAnsi="Arial"/>
          <w:sz w:val="20"/>
        </w:rPr>
        <w:t>anexo do Edital.</w:t>
      </w:r>
    </w:p>
    <w:p>
      <w:pPr>
        <w:pStyle w:val="Nivel011"/>
        <w:numPr>
          <w:ilvl w:val="0"/>
          <w:numId w:val="9"/>
        </w:numPr>
        <w:rPr>
          <w:rFonts w:ascii="Arial" w:hAnsi="Arial" w:cs="Arial"/>
        </w:rPr>
      </w:pPr>
      <w:r>
        <w:rPr>
          <w:rFonts w:cs="Arial" w:ascii="Arial" w:hAnsi="Arial"/>
        </w:rPr>
        <w:t>CLÁUSULA DÉCIMA – OBRIGAÇÕES DA CONTRATANTE E DA CONTRATADA</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As obrigações da CONTRATANTE e da CONTRATADA são aquelas previstas no Termo de Referência, </w:t>
      </w:r>
      <w:r>
        <w:rPr>
          <w:rFonts w:cs="Arial" w:ascii="Arial" w:hAnsi="Arial"/>
          <w:sz w:val="20"/>
        </w:rPr>
        <w:t>anexo do Edital.</w:t>
      </w:r>
    </w:p>
    <w:p>
      <w:pPr>
        <w:pStyle w:val="Nivel011"/>
        <w:numPr>
          <w:ilvl w:val="0"/>
          <w:numId w:val="9"/>
        </w:numPr>
        <w:rPr>
          <w:rFonts w:ascii="Arial" w:hAnsi="Arial" w:cs="Arial"/>
        </w:rPr>
      </w:pPr>
      <w:r>
        <w:rPr>
          <w:rFonts w:cs="Arial" w:ascii="Arial" w:hAnsi="Arial"/>
        </w:rPr>
        <w:t>CLÁUSULA DÉCIMA PRIMEIRA – SANÇÕES ADMINISTRATIVAS</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As sanções referentes à execução do contrato são aquelas previstas no Termo de Referência, </w:t>
      </w:r>
      <w:r>
        <w:rPr>
          <w:rFonts w:cs="Arial" w:ascii="Arial" w:hAnsi="Arial"/>
          <w:sz w:val="20"/>
        </w:rPr>
        <w:t>anexo do Edital.</w:t>
      </w:r>
      <w:r>
        <w:rPr>
          <w:rFonts w:cs="Arial" w:ascii="Arial" w:hAnsi="Arial"/>
          <w:b/>
          <w:sz w:val="20"/>
          <w:szCs w:val="20"/>
        </w:rPr>
        <w:t xml:space="preserve"> </w:t>
      </w:r>
    </w:p>
    <w:p>
      <w:pPr>
        <w:pStyle w:val="Nivel011"/>
        <w:numPr>
          <w:ilvl w:val="0"/>
          <w:numId w:val="9"/>
        </w:numPr>
        <w:rPr>
          <w:rFonts w:ascii="Arial" w:hAnsi="Arial" w:cs="Arial"/>
        </w:rPr>
      </w:pPr>
      <w:r>
        <w:rPr>
          <w:rFonts w:cs="Arial" w:ascii="Arial" w:hAnsi="Arial"/>
        </w:rPr>
        <w:t>CLÁUSULA DÉCIMA SEGUNDA – RESCISÃO</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 xml:space="preserve">O presente Termo de Contrato poderá ser rescindido: </w:t>
      </w:r>
    </w:p>
    <w:p>
      <w:pPr>
        <w:pStyle w:val="Normal"/>
        <w:numPr>
          <w:ilvl w:val="2"/>
          <w:numId w:val="9"/>
        </w:numPr>
        <w:spacing w:lineRule="auto" w:line="276" w:before="120" w:after="120"/>
        <w:jc w:val="both"/>
        <w:rPr>
          <w:rFonts w:ascii="Arial" w:hAnsi="Arial" w:cs="Arial"/>
          <w:sz w:val="20"/>
          <w:szCs w:val="20"/>
        </w:rPr>
      </w:pPr>
      <w:r>
        <w:rPr>
          <w:rFonts w:cs="Arial" w:ascii="Arial" w:hAnsi="Arial"/>
          <w:sz w:val="20"/>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Normal"/>
        <w:numPr>
          <w:ilvl w:val="2"/>
          <w:numId w:val="9"/>
        </w:numPr>
        <w:spacing w:lineRule="auto" w:line="276" w:before="120" w:after="120"/>
        <w:jc w:val="both"/>
        <w:rPr>
          <w:rFonts w:ascii="Arial" w:hAnsi="Arial" w:cs="Arial"/>
          <w:sz w:val="20"/>
          <w:szCs w:val="20"/>
        </w:rPr>
      </w:pPr>
      <w:r>
        <w:rPr>
          <w:rFonts w:cs="Arial" w:ascii="Arial" w:hAnsi="Arial"/>
          <w:sz w:val="20"/>
          <w:szCs w:val="20"/>
        </w:rPr>
        <w:t>amigavelmente, nos termos do art. 79, inciso II, da Lei nº 8.666, de 1993.</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Os casos de rescisão contratual serão formalmente motivados, assegurando-se à CONTRATADA o direito à prévia e ampla defesa.</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A CONTRATADA reconhece os direitos da CONTRATANTE em caso de rescisão administrativa prevista no art. 77 da Lei nº 8.666, de 1993.</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O termo de rescisão será precedido de Relatório indicativo dos seguintes aspectos, conforme o caso:</w:t>
      </w:r>
    </w:p>
    <w:p>
      <w:pPr>
        <w:pStyle w:val="Normal"/>
        <w:numPr>
          <w:ilvl w:val="2"/>
          <w:numId w:val="9"/>
        </w:numPr>
        <w:spacing w:lineRule="auto" w:line="276" w:before="120" w:after="120"/>
        <w:jc w:val="both"/>
        <w:rPr>
          <w:rFonts w:ascii="Arial" w:hAnsi="Arial" w:cs="Arial"/>
          <w:sz w:val="20"/>
          <w:szCs w:val="20"/>
        </w:rPr>
      </w:pPr>
      <w:r>
        <w:rPr>
          <w:rFonts w:cs="Arial" w:ascii="Arial" w:hAnsi="Arial"/>
          <w:sz w:val="20"/>
          <w:szCs w:val="20"/>
        </w:rPr>
        <w:t>Balanço dos eventos contratuais já cumpridos ou parcialmente cumpridos;</w:t>
      </w:r>
    </w:p>
    <w:p>
      <w:pPr>
        <w:pStyle w:val="Normal"/>
        <w:numPr>
          <w:ilvl w:val="2"/>
          <w:numId w:val="9"/>
        </w:numPr>
        <w:spacing w:lineRule="auto" w:line="276" w:before="120" w:after="120"/>
        <w:jc w:val="both"/>
        <w:rPr>
          <w:rFonts w:ascii="Arial" w:hAnsi="Arial" w:cs="Arial"/>
          <w:sz w:val="20"/>
          <w:szCs w:val="20"/>
        </w:rPr>
      </w:pPr>
      <w:r>
        <w:rPr>
          <w:rFonts w:cs="Arial" w:ascii="Arial" w:hAnsi="Arial"/>
          <w:sz w:val="20"/>
          <w:szCs w:val="20"/>
        </w:rPr>
        <w:t>Relação dos pagamentos já efetuados e ainda devidos;</w:t>
      </w:r>
    </w:p>
    <w:p>
      <w:pPr>
        <w:pStyle w:val="Normal"/>
        <w:numPr>
          <w:ilvl w:val="2"/>
          <w:numId w:val="9"/>
        </w:numPr>
        <w:spacing w:lineRule="auto" w:line="276" w:before="120" w:after="120"/>
        <w:jc w:val="both"/>
        <w:rPr>
          <w:rFonts w:ascii="Arial" w:hAnsi="Arial" w:cs="Arial"/>
          <w:sz w:val="20"/>
          <w:szCs w:val="20"/>
        </w:rPr>
      </w:pPr>
      <w:r>
        <w:rPr>
          <w:rFonts w:cs="Arial" w:ascii="Arial" w:hAnsi="Arial"/>
          <w:sz w:val="20"/>
          <w:szCs w:val="20"/>
        </w:rPr>
        <w:t>Indenizações e multas.</w:t>
      </w:r>
    </w:p>
    <w:p>
      <w:pPr>
        <w:pStyle w:val="Nivel011"/>
        <w:numPr>
          <w:ilvl w:val="0"/>
          <w:numId w:val="9"/>
        </w:numPr>
        <w:rPr>
          <w:rFonts w:ascii="Arial" w:hAnsi="Arial" w:cs="Arial"/>
        </w:rPr>
      </w:pPr>
      <w:r>
        <w:rPr>
          <w:rFonts w:cs="Arial" w:ascii="Arial" w:hAnsi="Arial"/>
        </w:rPr>
        <w:t>CLÁUSULA DÉCIMA TERCEIRA – VEDAÇÕES</w:t>
      </w:r>
    </w:p>
    <w:p>
      <w:pPr>
        <w:pStyle w:val="ListParagraph"/>
        <w:numPr>
          <w:ilvl w:val="1"/>
          <w:numId w:val="9"/>
        </w:numPr>
        <w:spacing w:lineRule="auto" w:line="276" w:before="120" w:after="120"/>
        <w:ind w:left="425" w:right="0" w:hanging="0"/>
        <w:contextualSpacing/>
        <w:jc w:val="both"/>
        <w:rPr>
          <w:rFonts w:ascii="Arial" w:hAnsi="Arial" w:cs="Arial"/>
          <w:sz w:val="20"/>
          <w:szCs w:val="20"/>
        </w:rPr>
      </w:pPr>
      <w:r>
        <w:rPr>
          <w:rFonts w:cs="Arial" w:ascii="Arial" w:hAnsi="Arial"/>
          <w:sz w:val="20"/>
          <w:szCs w:val="20"/>
        </w:rPr>
        <w:t>É vedado à CONTRATADA:</w:t>
      </w:r>
    </w:p>
    <w:p>
      <w:pPr>
        <w:pStyle w:val="Normal"/>
        <w:numPr>
          <w:ilvl w:val="2"/>
          <w:numId w:val="9"/>
        </w:numPr>
        <w:spacing w:lineRule="auto" w:line="276" w:before="120" w:after="120"/>
        <w:ind w:left="1134" w:right="0" w:hanging="0"/>
        <w:jc w:val="both"/>
        <w:rPr>
          <w:rFonts w:ascii="Arial" w:hAnsi="Arial" w:cs="Arial"/>
          <w:sz w:val="20"/>
          <w:szCs w:val="20"/>
        </w:rPr>
      </w:pPr>
      <w:r>
        <w:rPr>
          <w:rFonts w:cs="Arial" w:ascii="Arial" w:hAnsi="Arial"/>
          <w:sz w:val="20"/>
          <w:szCs w:val="20"/>
        </w:rPr>
        <w:t>caucionar ou utilizar este Termo de Contrato para qualquer operação financeira;</w:t>
      </w:r>
    </w:p>
    <w:p>
      <w:pPr>
        <w:pStyle w:val="Normal"/>
        <w:numPr>
          <w:ilvl w:val="2"/>
          <w:numId w:val="9"/>
        </w:numPr>
        <w:spacing w:lineRule="auto" w:line="276" w:before="120" w:after="120"/>
        <w:ind w:left="1134" w:right="0" w:hanging="0"/>
        <w:jc w:val="both"/>
        <w:rPr>
          <w:rFonts w:ascii="Arial" w:hAnsi="Arial" w:cs="Arial"/>
          <w:sz w:val="20"/>
          <w:szCs w:val="20"/>
        </w:rPr>
      </w:pPr>
      <w:r>
        <w:rPr>
          <w:rFonts w:cs="Arial" w:ascii="Arial" w:hAnsi="Arial"/>
          <w:sz w:val="20"/>
          <w:szCs w:val="20"/>
        </w:rPr>
        <w:t>interromper a execução contratual sob alegação de inadimplemento por parte da CONTRATANTE, salvo nos casos previstos em lei.</w:t>
      </w:r>
    </w:p>
    <w:p>
      <w:pPr>
        <w:pStyle w:val="Nivel011"/>
        <w:numPr>
          <w:ilvl w:val="0"/>
          <w:numId w:val="9"/>
        </w:numPr>
        <w:rPr>
          <w:rFonts w:ascii="Arial" w:hAnsi="Arial" w:cs="Arial"/>
        </w:rPr>
      </w:pPr>
      <w:r>
        <w:rPr>
          <w:rFonts w:cs="Arial" w:ascii="Arial" w:hAnsi="Arial"/>
        </w:rPr>
        <w:t>CLÁUSULA DÉCIMA QUARTA – ALTERAÇÕES</w:t>
      </w:r>
    </w:p>
    <w:p>
      <w:pPr>
        <w:pStyle w:val="Normal"/>
        <w:numPr>
          <w:ilvl w:val="1"/>
          <w:numId w:val="9"/>
        </w:numPr>
        <w:spacing w:lineRule="auto" w:line="276" w:before="120" w:after="120"/>
        <w:ind w:left="425" w:right="0" w:hanging="0"/>
        <w:jc w:val="both"/>
        <w:rPr>
          <w:rFonts w:ascii="Arial" w:hAnsi="Arial" w:cs="Arial"/>
          <w:sz w:val="20"/>
          <w:szCs w:val="20"/>
        </w:rPr>
      </w:pPr>
      <w:r>
        <w:rPr>
          <w:rFonts w:cs="Arial" w:ascii="Arial" w:hAnsi="Arial"/>
          <w:sz w:val="20"/>
          <w:szCs w:val="20"/>
        </w:rPr>
        <w:t>Eventuais alterações contratuais reger-se-ão pela disciplina do art. 65 da Lei nº 8.666, de 1993.</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A CONTRATADA é obrigada a aceitar, nas mesmas condições contratuais, os acréscimos ou supressões que se fizerem necessários, </w:t>
      </w:r>
      <w:r>
        <w:rPr>
          <w:rFonts w:cs="Arial" w:ascii="Arial" w:hAnsi="Arial"/>
          <w:sz w:val="20"/>
          <w:szCs w:val="20"/>
          <w:highlight w:val="yellow"/>
        </w:rPr>
        <w:t>até o limite de 50% (cinquenta por cento) do valor inicial atualizado do contrato, nos termos do artigo 4º, I, da Lei n. 13.979/2020.</w:t>
      </w:r>
    </w:p>
    <w:p>
      <w:pPr>
        <w:pStyle w:val="Citao2"/>
        <w:shd w:val="clear" w:fill="FFFFCC"/>
        <w:rPr/>
      </w:pPr>
      <w:r>
        <w:rPr>
          <w:rFonts w:cs="Arial"/>
          <w:b/>
        </w:rPr>
        <w:t>Nota explicativa</w:t>
      </w:r>
      <w:r>
        <w:rPr>
          <w:rFonts w:cs="Arial"/>
        </w:rPr>
        <w:t xml:space="preserve">: </w:t>
      </w:r>
      <w:r>
        <w:rPr>
          <w:rFonts w:cs="Arial"/>
          <w:highlight w:val="yellow"/>
        </w:rPr>
        <w:t>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pPr>
        <w:pStyle w:val="Citao2"/>
        <w:shd w:val="clear" w:fill="FFFFCC"/>
        <w:rPr>
          <w:rFonts w:ascii="Arial" w:hAnsi="Arial" w:cs="Arial"/>
        </w:rPr>
      </w:pPr>
      <w:r>
        <w:rPr>
          <w:rFonts w:cs="Arial"/>
        </w:rPr>
        <w:t>Somente será possível a realização de aditivo contratual, nos termos do art. 65, §1º da Lei n. 8.666/93, dentro do prazo de vigência do contrato de fornecimento.</w:t>
      </w:r>
    </w:p>
    <w:p>
      <w:pPr>
        <w:pStyle w:val="Nivel011"/>
        <w:rPr>
          <w:rFonts w:ascii="Arial" w:hAnsi="Arial" w:cs="Arial"/>
        </w:rPr>
      </w:pPr>
      <w:r>
        <w:rPr>
          <w:rFonts w:cs="Arial" w:ascii="Arial" w:hAnsi="Arial"/>
        </w:rPr>
      </w:r>
    </w:p>
    <w:p>
      <w:pPr>
        <w:pStyle w:val="Nivel011"/>
        <w:numPr>
          <w:ilvl w:val="0"/>
          <w:numId w:val="9"/>
        </w:numPr>
        <w:rPr>
          <w:rFonts w:ascii="Arial" w:hAnsi="Arial" w:cs="Arial"/>
        </w:rPr>
      </w:pPr>
      <w:r>
        <w:rPr>
          <w:rFonts w:cs="Arial" w:ascii="Arial" w:hAnsi="Arial"/>
        </w:rPr>
        <w:t xml:space="preserve"> </w:t>
      </w:r>
      <w:r>
        <w:rPr>
          <w:rFonts w:cs="Arial" w:ascii="Arial" w:hAnsi="Arial"/>
        </w:rPr>
        <w:t>CLÁUSULA DÉCIMA QUINTA - DOS CASOS OMISSOS.</w:t>
      </w:r>
    </w:p>
    <w:p>
      <w:pPr>
        <w:pStyle w:val="Normal"/>
        <w:numPr>
          <w:ilvl w:val="1"/>
          <w:numId w:val="9"/>
        </w:numPr>
        <w:spacing w:lineRule="auto" w:line="276" w:before="120" w:after="120"/>
        <w:ind w:left="425" w:right="0" w:hanging="0"/>
        <w:jc w:val="both"/>
        <w:rPr/>
      </w:pPr>
      <w:r>
        <w:rPr>
          <w:rFonts w:cs="Arial" w:ascii="Arial" w:hAnsi="Arial"/>
          <w:sz w:val="20"/>
          <w:szCs w:val="20"/>
        </w:rPr>
        <w:t xml:space="preserve">Os casos omissos serão decididos pela CONTRATANTE, segundo as disposições contidas estabelecidas </w:t>
      </w:r>
      <w:r>
        <w:rPr>
          <w:rFonts w:cs="Arial" w:ascii="Arial" w:hAnsi="Arial"/>
          <w:sz w:val="20"/>
          <w:szCs w:val="20"/>
          <w:highlight w:val="yellow"/>
        </w:rPr>
        <w:t>na Lei n. 13.979/2020,</w:t>
      </w:r>
      <w:r>
        <w:rPr>
          <w:rFonts w:cs="Arial" w:ascii="Arial" w:hAnsi="Arial"/>
          <w:sz w:val="20"/>
          <w:szCs w:val="20"/>
        </w:rPr>
        <w:t xml:space="preserve">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pPr>
        <w:pStyle w:val="Nivel011"/>
        <w:numPr>
          <w:ilvl w:val="0"/>
          <w:numId w:val="10"/>
        </w:numPr>
        <w:rPr/>
      </w:pPr>
      <w:r>
        <w:rPr>
          <w:rStyle w:val="Normaltextrun"/>
          <w:rFonts w:cs="Arial" w:ascii="Arial" w:hAnsi="Arial"/>
          <w:color w:val="000000"/>
        </w:rPr>
        <w:t>CLÁUSULA DÉCIMA SEXTA – DA PUBLICAÇÃO</w:t>
      </w:r>
    </w:p>
    <w:p>
      <w:pPr>
        <w:pStyle w:val="Nivel011"/>
        <w:numPr>
          <w:ilvl w:val="1"/>
          <w:numId w:val="10"/>
        </w:numPr>
        <w:rPr/>
      </w:pPr>
      <w:r>
        <w:rPr>
          <w:rStyle w:val="Normaltextrun"/>
          <w:rFonts w:cs="Arial" w:ascii="Arial" w:hAnsi="Arial"/>
          <w:b w:val="false"/>
          <w:bCs w:val="false"/>
          <w:color w:val="000000"/>
        </w:rPr>
        <w:t xml:space="preserve">Incumbirá à CONTRATANTE providenciar a disponibilização desta contratação  disponibilizadas em sítio oficial específico na rede mundial de computadores (internet), contendo, no que couber, além das informações previstas no </w:t>
      </w:r>
      <w:r>
        <w:fldChar w:fldCharType="begin"/>
      </w:r>
      <w:r>
        <w:instrText> HYPERLINK "http://www.planalto.gov.br/ccivil_03/_Ato2011-2014/2011/Lei/L12527.htm" \l "art8§3"</w:instrText>
      </w:r>
      <w:r>
        <w:fldChar w:fldCharType="separate"/>
      </w:r>
      <w:r>
        <w:rPr>
          <w:rStyle w:val="Normaltextrun"/>
        </w:rPr>
        <w:t>§ 3º do art. 8º da Lei nº 12.527, de 18 de novembro de 2011</w:t>
      </w:r>
      <w:r>
        <w:fldChar w:fldCharType="end"/>
      </w:r>
      <w:r>
        <w:rPr>
          <w:rStyle w:val="Normaltextrun"/>
          <w:rFonts w:cs="Arial" w:ascii="Arial" w:hAnsi="Arial"/>
          <w:b w:val="false"/>
          <w:bCs w:val="false"/>
          <w:color w:val="000000"/>
        </w:rPr>
        <w:t>, o nome do contratado, o número de sua inscrição na Receita Federal do Brasil, o prazo contratual, o valor e o respectivo processo de contratação, nos termos do art. 4º, §2º da Lei nº 13.979/20.</w:t>
      </w:r>
    </w:p>
    <w:p>
      <w:pPr>
        <w:pStyle w:val="Nivel011"/>
        <w:numPr>
          <w:ilvl w:val="0"/>
          <w:numId w:val="0"/>
        </w:numPr>
        <w:ind w:left="0" w:hanging="0"/>
        <w:rPr>
          <w:rFonts w:ascii="Arial" w:hAnsi="Arial" w:cs="Arial"/>
        </w:rPr>
      </w:pPr>
      <w:r>
        <w:rPr>
          <w:rFonts w:cs="Arial" w:ascii="Arial" w:hAnsi="Arial"/>
          <w:color w:val="000000"/>
        </w:rPr>
        <w:t>17. CLÁUSULA D</w:t>
      </w:r>
      <w:r>
        <w:rPr>
          <w:rFonts w:cs="Arial" w:ascii="Arial" w:hAnsi="Arial"/>
        </w:rPr>
        <w:t>ÉCIMA SÉTIMA – FORO</w:t>
      </w:r>
    </w:p>
    <w:p>
      <w:pPr>
        <w:pStyle w:val="Nivel011"/>
        <w:numPr>
          <w:ilvl w:val="0"/>
          <w:numId w:val="0"/>
        </w:numPr>
        <w:spacing w:lineRule="auto" w:line="276" w:before="120" w:after="120"/>
        <w:ind w:left="425" w:right="0" w:hanging="0"/>
        <w:jc w:val="both"/>
        <w:rPr>
          <w:rFonts w:ascii="Arial" w:hAnsi="Arial" w:cs="Arial"/>
          <w:color w:val="000000"/>
          <w:sz w:val="20"/>
          <w:szCs w:val="20"/>
          <w:lang w:eastAsia="pt-BR"/>
        </w:rPr>
      </w:pPr>
      <w:r>
        <w:rPr>
          <w:rFonts w:eastAsia="Times New Roman" w:cs="Arial" w:ascii="Arial" w:hAnsi="Arial"/>
          <w:b w:val="false"/>
          <w:color w:val="000000"/>
          <w:sz w:val="20"/>
          <w:szCs w:val="20"/>
          <w:lang w:eastAsia="pt-BR"/>
        </w:rPr>
        <w:t>17.1 É eleito o Foro da Justiça Federal, Seção Judiciária de Pernambuco, Subseção Judiciária de Petrolina para dirimir os litígios que decorrerem da execução deste Termo de Contrato que não possam ser compostos pela conciliação, conforme art. 55, §2º da Lei nº 8.666/93.</w:t>
      </w:r>
    </w:p>
    <w:p>
      <w:pPr>
        <w:pStyle w:val="Normal"/>
        <w:spacing w:lineRule="auto" w:line="276" w:before="120" w:after="120"/>
        <w:jc w:val="both"/>
        <w:rPr>
          <w:rFonts w:ascii="Arial" w:hAnsi="Arial" w:cs="Arial"/>
          <w:sz w:val="20"/>
          <w:szCs w:val="20"/>
        </w:rPr>
      </w:pPr>
      <w:r>
        <w:rPr>
          <w:rFonts w:cs="Arial" w:ascii="Arial" w:hAnsi="Arial"/>
          <w:sz w:val="20"/>
          <w:szCs w:val="20"/>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left="0" w:right="-15" w:hanging="0"/>
        <w:jc w:val="both"/>
        <w:rPr>
          <w:rFonts w:ascii="Arial" w:hAnsi="Arial" w:cs="Arial"/>
          <w:sz w:val="20"/>
          <w:szCs w:val="20"/>
        </w:rPr>
      </w:pPr>
      <w:r>
        <w:rPr>
          <w:rFonts w:cs="Arial" w:ascii="Arial" w:hAnsi="Arial"/>
          <w:sz w:val="20"/>
          <w:szCs w:val="20"/>
        </w:rPr>
        <w:t>...........................................,  .......... de.......................................... de 20.....</w:t>
      </w:r>
    </w:p>
    <w:p>
      <w:pPr>
        <w:pStyle w:val="Normal"/>
        <w:spacing w:before="0" w:after="120"/>
        <w:jc w:val="both"/>
        <w:rPr>
          <w:rFonts w:ascii="Arial" w:hAnsi="Arial" w:cs="Arial"/>
          <w:bCs/>
          <w:sz w:val="20"/>
          <w:szCs w:val="20"/>
        </w:rPr>
      </w:pPr>
      <w:r>
        <w:rPr>
          <w:rFonts w:cs="Arial" w:ascii="Arial" w:hAnsi="Arial"/>
          <w:bCs/>
          <w:sz w:val="20"/>
          <w:szCs w:val="20"/>
        </w:rPr>
      </w:r>
    </w:p>
    <w:p>
      <w:pPr>
        <w:pStyle w:val="Normal"/>
        <w:spacing w:before="0" w:after="120"/>
        <w:jc w:val="center"/>
        <w:rPr>
          <w:rFonts w:ascii="Arial" w:hAnsi="Arial" w:cs="Arial"/>
          <w:bCs/>
          <w:sz w:val="20"/>
          <w:szCs w:val="20"/>
        </w:rPr>
      </w:pPr>
      <w:r>
        <w:rPr>
          <w:rFonts w:cs="Arial" w:ascii="Arial" w:hAnsi="Arial"/>
          <w:bCs/>
          <w:sz w:val="20"/>
          <w:szCs w:val="20"/>
        </w:rPr>
        <w:t>_________________________</w:t>
      </w:r>
    </w:p>
    <w:p>
      <w:pPr>
        <w:pStyle w:val="Normal"/>
        <w:spacing w:before="0" w:after="120"/>
        <w:jc w:val="center"/>
        <w:rPr>
          <w:rFonts w:ascii="Arial" w:hAnsi="Arial" w:cs="Arial"/>
          <w:bCs/>
          <w:sz w:val="20"/>
          <w:szCs w:val="20"/>
        </w:rPr>
      </w:pPr>
      <w:r>
        <w:rPr>
          <w:rFonts w:cs="Arial" w:ascii="Arial" w:hAnsi="Arial"/>
          <w:bCs/>
          <w:sz w:val="20"/>
          <w:szCs w:val="20"/>
        </w:rPr>
        <w:t>Responsável legal da CONTRATANTE</w:t>
      </w:r>
    </w:p>
    <w:p>
      <w:pPr>
        <w:pStyle w:val="Normal"/>
        <w:spacing w:before="0" w:after="120"/>
        <w:jc w:val="center"/>
        <w:rPr>
          <w:rFonts w:ascii="Arial" w:hAnsi="Arial" w:cs="Arial"/>
          <w:sz w:val="20"/>
          <w:szCs w:val="20"/>
        </w:rPr>
      </w:pPr>
      <w:r>
        <w:rPr>
          <w:rFonts w:cs="Arial" w:ascii="Arial" w:hAnsi="Arial"/>
          <w:sz w:val="20"/>
          <w:szCs w:val="20"/>
        </w:rPr>
        <w:t>_________________________</w:t>
      </w:r>
    </w:p>
    <w:p>
      <w:pPr>
        <w:pStyle w:val="Normal"/>
        <w:spacing w:before="0" w:after="120"/>
        <w:jc w:val="center"/>
        <w:rPr>
          <w:rFonts w:ascii="Arial" w:hAnsi="Arial" w:cs="Arial"/>
          <w:sz w:val="20"/>
          <w:szCs w:val="20"/>
        </w:rPr>
      </w:pPr>
      <w:r>
        <w:rPr>
          <w:rFonts w:cs="Arial" w:ascii="Arial" w:hAnsi="Arial"/>
          <w:sz w:val="20"/>
          <w:szCs w:val="20"/>
        </w:rPr>
        <w:t>Responsável legal da CONTRATADA</w:t>
      </w:r>
    </w:p>
    <w:p>
      <w:pPr>
        <w:pStyle w:val="Normal"/>
        <w:spacing w:before="0" w:after="120"/>
        <w:jc w:val="both"/>
        <w:rPr>
          <w:rFonts w:ascii="Arial" w:hAnsi="Arial" w:cs="Arial"/>
          <w:sz w:val="20"/>
          <w:szCs w:val="20"/>
        </w:rPr>
      </w:pPr>
      <w:r>
        <w:rPr>
          <w:rFonts w:cs="Arial" w:ascii="Arial" w:hAnsi="Arial"/>
          <w:sz w:val="20"/>
          <w:szCs w:val="20"/>
        </w:rPr>
        <w:t>TESTEMUNHAS:</w:t>
      </w:r>
    </w:p>
    <w:p>
      <w:pPr>
        <w:pStyle w:val="Normal"/>
        <w:spacing w:before="0" w:after="120"/>
        <w:jc w:val="both"/>
        <w:rPr>
          <w:rFonts w:ascii="Arial" w:hAnsi="Arial" w:cs="Arial"/>
          <w:sz w:val="20"/>
          <w:szCs w:val="20"/>
        </w:rPr>
      </w:pPr>
      <w:r>
        <w:rPr>
          <w:rFonts w:cs="Arial" w:ascii="Arial" w:hAnsi="Arial"/>
          <w:sz w:val="20"/>
          <w:szCs w:val="20"/>
        </w:rPr>
        <w:t>1-</w:t>
      </w:r>
    </w:p>
    <w:p>
      <w:pPr>
        <w:pStyle w:val="Normal"/>
        <w:spacing w:before="0" w:after="120"/>
        <w:jc w:val="both"/>
        <w:rPr/>
      </w:pPr>
      <w:r>
        <w:rPr>
          <w:rFonts w:cs="Arial" w:ascii="Arial" w:hAnsi="Arial"/>
          <w:sz w:val="20"/>
          <w:szCs w:val="20"/>
        </w:rPr>
        <w:t>2-</w:t>
      </w:r>
    </w:p>
    <w:sectPr>
      <w:headerReference w:type="default" r:id="rId8"/>
      <w:footerReference w:type="default" r:id="rId9"/>
      <w:type w:val="nextPage"/>
      <w:pgSz w:w="11906" w:h="16838"/>
      <w:pgMar w:left="1701" w:right="1130" w:header="709"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bCs/>
      </w:rPr>
    </w:pPr>
    <w:r>
      <w:rPr>
        <w:rFonts w:cs="Arial" w:ascii="Arial" w:hAnsi="Arial"/>
        <w:b/>
        <w:bCs/>
      </w:rPr>
    </w:r>
  </w:p>
  <w:p>
    <w:pPr>
      <w:pStyle w:val="Rodap"/>
      <w:jc w:val="center"/>
      <w:rPr>
        <w:rFonts w:ascii="Arial" w:hAnsi="Arial" w:cs="Arial"/>
        <w:sz w:val="18"/>
        <w:szCs w:val="18"/>
      </w:rPr>
    </w:pPr>
    <w:r>
      <w:rPr>
        <w:rFonts w:cs="Arial" w:ascii="Arial" w:hAnsi="Arial"/>
        <w:b/>
        <w:bCs/>
        <w:sz w:val="14"/>
        <w:szCs w:val="14"/>
      </w:rPr>
      <w:t>Endereço: Rua Aristarco Lopes, 24º, Centro, Petrolina-PE – CEP 56302-100.</w:t>
    </w:r>
  </w:p>
  <w:p>
    <w:pPr>
      <w:pStyle w:val="Rodap"/>
      <w:jc w:val="center"/>
      <w:rPr/>
    </w:pPr>
    <w:r>
      <w:rPr>
        <w:rFonts w:cs="Arial" w:ascii="Arial" w:hAnsi="Arial"/>
        <w:b/>
        <w:bCs/>
        <w:sz w:val="14"/>
        <w:szCs w:val="14"/>
      </w:rPr>
      <w:t xml:space="preserve">E-mail: </w:t>
    </w:r>
    <w:hyperlink r:id="rId1">
      <w:r>
        <w:rPr>
          <w:rStyle w:val="LinkdaInternet"/>
          <w:rFonts w:cs="Arial" w:ascii="Arial" w:hAnsi="Arial"/>
          <w:b/>
          <w:bCs/>
          <w:sz w:val="14"/>
          <w:szCs w:val="14"/>
        </w:rPr>
        <w:t>licitacoes@ifsertao-pe.edu.br</w:t>
      </w:r>
    </w:hyperlink>
    <w:r>
      <w:rPr>
        <w:rFonts w:cs="Arial" w:ascii="Arial" w:hAnsi="Arial"/>
        <w:b/>
        <w:bCs/>
        <w:sz w:val="14"/>
        <w:szCs w:val="14"/>
      </w:rPr>
      <w:t xml:space="preserve"> – Tel: (87) 2101 2350/Ramal: 2373</w:t>
    </w:r>
    <w:r>
      <w:rPr>
        <w:rFonts w:cs="Times New Roman" w:ascii="Times New Roman" w:hAnsi="Times New Roman"/>
      </w:rPr>
      <w:t xml:space="preserve"> 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 COVID-19</w:t>
    </w:r>
  </w:p>
  <w:p>
    <w:pPr>
      <w:pStyle w:val="Rodap"/>
      <w:rPr>
        <w:rFonts w:ascii="Arial" w:hAnsi="Arial" w:cs="Arial"/>
      </w:rPr>
    </w:pPr>
    <w:r>
      <w:rPr>
        <w:rFonts w:cs="Arial" w:ascii="Arial" w:hAnsi="Arial"/>
        <w:sz w:val="12"/>
        <w:szCs w:val="12"/>
      </w:rPr>
      <w:t>Atualização: Maio/2020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rFonts w:eastAsia="Times New Roman"/>
      </w:rPr>
    </w:pPr>
    <w:r>
      <w:drawing>
        <wp:anchor behindDoc="1" distT="0" distB="0" distL="0" distR="9525" simplePos="0" locked="0" layoutInCell="1" allowOverlap="1" relativeHeight="54">
          <wp:simplePos x="0" y="0"/>
          <wp:positionH relativeFrom="margin">
            <wp:align>center</wp:align>
          </wp:positionH>
          <wp:positionV relativeFrom="paragraph">
            <wp:posOffset>9525</wp:posOffset>
          </wp:positionV>
          <wp:extent cx="657225" cy="647700"/>
          <wp:effectExtent l="0" t="0" r="0" b="0"/>
          <wp:wrapSquare wrapText="bothSides"/>
          <wp:docPr id="1" name="Imagem 1" descr="C:\Users\GERSON\AppData\Local\Temp\lu258288dezdq.tmp\lu258288dfjiw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258288dezdq.tmp\lu258288dfjiw_tmp_d44013d25f4e7191.jpg"/>
                  <pic:cNvPicPr>
                    <a:picLocks noChangeAspect="1" noChangeArrowheads="1"/>
                  </pic:cNvPicPr>
                </pic:nvPicPr>
                <pic:blipFill>
                  <a:blip r:embed="rId1"/>
                  <a:stretch>
                    <a:fillRect/>
                  </a:stretch>
                </pic:blipFill>
                <pic:spPr bwMode="auto">
                  <a:xfrm>
                    <a:off x="0" y="0"/>
                    <a:ext cx="657225" cy="647700"/>
                  </a:xfrm>
                  <a:prstGeom prst="rect">
                    <a:avLst/>
                  </a:prstGeom>
                </pic:spPr>
              </pic:pic>
            </a:graphicData>
          </a:graphic>
        </wp:anchor>
      </w:drawing>
    </w:r>
    <w:r>
      <w:rPr>
        <w:rFonts w:eastAsia="Times New Roman"/>
      </w:rPr>
      <w:br/>
    </w:r>
  </w:p>
  <w:p>
    <w:pPr>
      <w:pStyle w:val="Normal"/>
      <w:spacing w:lineRule="atLeast" w:line="198"/>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198"/>
      <w:jc w:val="center"/>
      <w:rPr>
        <w:rFonts w:ascii="Arial" w:hAnsi="Arial" w:eastAsia="Times New Roman" w:cs="Arial"/>
        <w:b/>
        <w:b/>
        <w:bCs/>
      </w:rPr>
    </w:pPr>
    <w:r>
      <w:rPr>
        <w:rFonts w:eastAsia="Times New Roman" w:cs="Arial" w:ascii="Arial" w:hAnsi="Arial"/>
        <w:b/>
        <w:bCs/>
      </w:rPr>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sz w:val="16"/>
        <w:szCs w:val="16"/>
      </w:rPr>
      <w:t>MINISTÉRIO DA EDUCAÇÃO</w:t>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sz w:val="16"/>
        <w:szCs w:val="16"/>
      </w:rPr>
      <w:t>SECRETARIA DA EDUCAÇÃO PROFISSIONAL E TECNOLÓGICA</w:t>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sz w:val="16"/>
        <w:szCs w:val="16"/>
      </w:rPr>
      <w:t>INSTITUTO FEDERAL DE EDUCAÇÃO, CIÊNCIA E TECNOLOGIA DO SERTÃO PERNAMBUCANO</w:t>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sz w:val="16"/>
        <w:szCs w:val="16"/>
      </w:rPr>
      <w:t>REITORIA/PROAD/</w:t>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color w:val="000000"/>
        <w:sz w:val="16"/>
        <w:szCs w:val="16"/>
      </w:rPr>
      <w:t>DIRETORIA DE LICITAÇÕES – DLIC</w:t>
    </w:r>
  </w:p>
  <w:p>
    <w:pPr>
      <w:pStyle w:val="Normal"/>
      <w:spacing w:lineRule="atLeast" w:line="198"/>
      <w:jc w:val="center"/>
      <w:rPr>
        <w:rFonts w:ascii="Times New Roman" w:hAnsi="Times New Roman" w:eastAsia="Times New Roman" w:cs="Times New Roman"/>
        <w:sz w:val="16"/>
        <w:szCs w:val="16"/>
      </w:rPr>
    </w:pPr>
    <w:r>
      <w:rPr>
        <w:rFonts w:eastAsia="Times New Roman" w:cs="Arial" w:ascii="Arial" w:hAnsi="Arial"/>
        <w:b/>
        <w:bCs/>
        <w:color w:val="000000"/>
        <w:sz w:val="16"/>
        <w:szCs w:val="16"/>
      </w:rPr>
      <w:t>EQUIPE DE APOIO AO PREGOEIRO</w:t>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b/>
        <w:szCs w:val="20"/>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lvl w:ilvl="0">
      <w:start w:val="13"/>
      <w:numFmt w:val="decimal"/>
      <w:lvlText w:val="%1"/>
      <w:lvlJc w:val="left"/>
      <w:pPr>
        <w:ind w:left="360" w:hanging="360"/>
      </w:pPr>
    </w:lvl>
    <w:lvl w:ilvl="1">
      <w:start w:val="1"/>
      <w:numFmt w:val="decimal"/>
      <w:lvlText w:val="%1.%2"/>
      <w:lvlJc w:val="left"/>
      <w:pPr>
        <w:ind w:left="927" w:hanging="360"/>
      </w:pPr>
      <w:rPr>
        <w:dstrike w:val="false"/>
        <w:strike w:val="false"/>
        <w:sz w:val="20"/>
        <w:rFonts w:ascii="Arial" w:hAnsi="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lvl w:ilvl="0">
      <w:start w:val="9"/>
      <w:numFmt w:val="decimal"/>
      <w:lvlText w:val="%1."/>
      <w:lvlJc w:val="left"/>
      <w:pPr>
        <w:ind w:left="360" w:hanging="360"/>
      </w:pPr>
      <w:rPr>
        <w:b/>
      </w:rPr>
    </w:lvl>
    <w:lvl w:ilvl="1">
      <w:start w:val="5"/>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7"/>
      <w:numFmt w:val="decimal"/>
      <w:lvlText w:val="%1."/>
      <w:lvlJc w:val="left"/>
      <w:pPr>
        <w:ind w:left="360" w:hanging="360"/>
      </w:pPr>
      <w:rPr>
        <w:b/>
      </w:rPr>
    </w:lvl>
    <w:lvl w:ilvl="1">
      <w:start w:val="14"/>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decimal"/>
      <w:lvlText w:val="%1."/>
      <w:lvlJc w:val="left"/>
      <w:pPr>
        <w:ind w:left="360" w:hanging="360"/>
      </w:pPr>
      <w:rPr>
        <w:sz w:val="20"/>
        <w:b/>
        <w:szCs w:val="20"/>
        <w:rFonts w:ascii="Arial" w:hAnsi="Arial"/>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decimal"/>
      <w:suff w:val="space"/>
      <w:lvlText w:val="%1."/>
      <w:lvlJc w:val="left"/>
      <w:pPr>
        <w:ind w:left="0" w:hanging="0"/>
      </w:pPr>
      <w:rPr>
        <w:b/>
        <w:rFonts w:ascii="Arial" w:hAnsi="Arial"/>
      </w:rPr>
    </w:lvl>
    <w:lvl w:ilvl="1">
      <w:start w:val="1"/>
      <w:numFmt w:val="decimal"/>
      <w:suff w:val="space"/>
      <w:lvlText w:val="%1.%2."/>
      <w:lvlJc w:val="left"/>
      <w:pPr>
        <w:ind w:left="142" w:hanging="0"/>
      </w:pPr>
      <w:rPr>
        <w:dstrike w:val="false"/>
        <w:strike w:val="false"/>
        <w:sz w:val="20"/>
        <w:i w:val="false"/>
        <w:u w:val="none"/>
        <w:b w:val="false"/>
        <w:szCs w:val="20"/>
        <w:rFonts w:ascii="Arial" w:hAnsi="Arial" w:cs="Arial"/>
        <w:color w:val="00000A"/>
      </w:rPr>
    </w:lvl>
    <w:lvl w:ilvl="2">
      <w:start w:val="1"/>
      <w:numFmt w:val="decimal"/>
      <w:suff w:val="space"/>
      <w:lvlText w:val="%1.%2.%3."/>
      <w:lvlJc w:val="left"/>
      <w:pPr>
        <w:ind w:left="567" w:hanging="0"/>
      </w:pPr>
      <w:rPr>
        <w:dstrike w:val="false"/>
        <w:strike w:val="false"/>
        <w:sz w:val="20"/>
        <w:i w:val="false"/>
        <w:b/>
        <w:szCs w:val="20"/>
        <w:rFonts w:ascii="Arial" w:hAnsi="Arial" w:cs="Arial"/>
        <w:color w:val="00000A"/>
      </w:rPr>
    </w:lvl>
    <w:lvl w:ilvl="3">
      <w:start w:val="1"/>
      <w:numFmt w:val="decimal"/>
      <w:suff w:val="space"/>
      <w:lvlText w:val="%1.%2.%3.%4."/>
      <w:lvlJc w:val="left"/>
      <w:pPr>
        <w:ind w:left="851" w:hanging="0"/>
      </w:pPr>
      <w:rPr>
        <w:b/>
      </w:rPr>
    </w:lvl>
    <w:lvl w:ilvl="4">
      <w:start w:val="1"/>
      <w:numFmt w:val="decimal"/>
      <w:suff w:val="space"/>
      <w:lvlText w:val="%1.%2.%3.%4.%5."/>
      <w:lvlJc w:val="left"/>
      <w:pPr>
        <w:ind w:left="1134" w:hanging="0"/>
      </w:pPr>
      <w:rPr>
        <w:dstrike w:val="false"/>
        <w:strike w:val="false"/>
        <w:sz w:val="20"/>
        <w:i w:val="false"/>
        <w:u w:val="none"/>
        <w:b w:val="false"/>
        <w:szCs w:val="20"/>
        <w:rFonts w:cs="Arial"/>
        <w:color w:val="00000A"/>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lvl w:ilvl="0">
      <w:start w:val="16"/>
      <w:numFmt w:val="decimal"/>
      <w:suff w:val="space"/>
      <w:lvlText w:val="%1."/>
      <w:lvlJc w:val="left"/>
      <w:pPr>
        <w:ind w:left="0" w:hanging="0"/>
      </w:pPr>
      <w:rPr>
        <w:dstrike w:val="false"/>
        <w:strike w:val="false"/>
        <w:sz w:val="20"/>
        <w:i w:val="false"/>
        <w:b/>
        <w:szCs w:val="20"/>
        <w:rFonts w:cs="Arial"/>
        <w:color w:val="00000A"/>
      </w:rPr>
    </w:lvl>
    <w:lvl w:ilvl="1">
      <w:start w:val="1"/>
      <w:numFmt w:val="decimal"/>
      <w:suff w:val="space"/>
      <w:lvlText w:val="%1.%2."/>
      <w:lvlJc w:val="left"/>
      <w:pPr>
        <w:ind w:left="142" w:hanging="0"/>
      </w:pPr>
      <w:rPr>
        <w:b/>
      </w:rPr>
    </w:lvl>
    <w:lvl w:ilvl="2">
      <w:start w:val="1"/>
      <w:numFmt w:val="decimal"/>
      <w:suff w:val="space"/>
      <w:lvlText w:val="%1.%2.%3."/>
      <w:lvlJc w:val="left"/>
      <w:pPr>
        <w:ind w:left="567" w:hanging="0"/>
      </w:pPr>
      <w:rPr>
        <w:dstrike w:val="false"/>
        <w:strike w:val="false"/>
        <w:sz w:val="20"/>
        <w:i w:val="false"/>
        <w:u w:val="none"/>
        <w:b w:val="false"/>
        <w:szCs w:val="20"/>
        <w:rFonts w:cs="Arial"/>
        <w:color w:val="00000A"/>
      </w:rPr>
    </w:lvl>
    <w:lvl w:ilvl="3">
      <w:start w:val="1"/>
      <w:numFmt w:val="decimal"/>
      <w:suff w:val="space"/>
      <w:lvlText w:val="%1.%2.%3.%4."/>
      <w:lvlJc w:val="left"/>
      <w:pPr>
        <w:ind w:left="851" w:hanging="0"/>
      </w:pPr>
      <w:rPr>
        <w:dstrike w:val="false"/>
        <w:strike w:val="false"/>
        <w:sz w:val="20"/>
        <w:i w:val="false"/>
        <w:b w:val="false"/>
        <w:szCs w:val="20"/>
        <w:rFonts w:cs="Arial"/>
        <w:color w:val="00000A"/>
      </w:rPr>
    </w:lvl>
    <w:lvl w:ilvl="4">
      <w:start w:val="1"/>
      <w:numFmt w:val="decimal"/>
      <w:suff w:val="space"/>
      <w:lvlText w:val="%1.%2.%3.%4.%5."/>
      <w:lvlJc w:val="left"/>
      <w:pPr>
        <w:ind w:left="1134" w:hanging="0"/>
      </w:pPr>
      <w:rPr>
        <w:sz w:val="20"/>
        <w:b/>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bidi w:val="0"/>
      <w:jc w:val="left"/>
    </w:pPr>
    <w:rPr>
      <w:rFonts w:ascii="Ecofont_Spranq_eco_Sans" w:hAnsi="Ecofont_Spranq_eco_Sans" w:eastAsia="ＭＳ 明朝" w:cs="Tahoma" w:eastAsiaTheme="minorEastAsia"/>
      <w:color w:val="00000A"/>
      <w:sz w:val="24"/>
      <w:szCs w:val="24"/>
      <w:lang w:val="pt-BR" w:eastAsia="pt-BR" w:bidi="ar-SA"/>
    </w:rPr>
  </w:style>
  <w:style w:type="paragraph" w:styleId="Ttulo1">
    <w:name w:val="Heading 1"/>
    <w:basedOn w:val="Normal"/>
    <w:next w:val="Normal"/>
    <w:link w:val="Ttulo1Char"/>
    <w:qFormat/>
    <w:rsid w:val="007f77ad"/>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uiPriority w:val="99"/>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llowedHyperlink">
    <w:name w:val="FollowedHyperlink"/>
    <w:basedOn w:val="DefaultParagraphFont"/>
    <w:semiHidden/>
    <w:unhideWhenUsed/>
    <w:qFormat/>
    <w:rsid w:val="00cc72c6"/>
    <w:rPr>
      <w:color w:val="800080" w:themeColor="followedHyperlink"/>
      <w:u w:val="single"/>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b/>
    </w:rPr>
  </w:style>
  <w:style w:type="character" w:styleId="ListLabel6">
    <w:name w:val="ListLabel 6"/>
    <w:qFormat/>
    <w:rPr>
      <w:rFonts w:ascii="Arial" w:hAnsi="Arial" w:cs="Arial"/>
      <w:b/>
      <w:i w:val="false"/>
      <w:strike w:val="false"/>
      <w:dstrike w:val="false"/>
      <w:color w:val="00000A"/>
      <w:sz w:val="20"/>
      <w:szCs w:val="20"/>
      <w:u w:val="none"/>
    </w:rPr>
  </w:style>
  <w:style w:type="character" w:styleId="ListLabel7">
    <w:name w:val="ListLabel 7"/>
    <w:qFormat/>
    <w:rPr>
      <w:rFonts w:cs="Arial"/>
      <w:b w:val="false"/>
      <w:i w:val="false"/>
      <w:strike w:val="false"/>
      <w:dstrike w:val="false"/>
      <w:color w:val="00000A"/>
      <w:sz w:val="20"/>
      <w:szCs w:val="20"/>
    </w:rPr>
  </w:style>
  <w:style w:type="character" w:styleId="ListLabel8">
    <w:name w:val="ListLabel 8"/>
    <w:qFormat/>
    <w:rPr>
      <w:b/>
    </w:rPr>
  </w:style>
  <w:style w:type="character" w:styleId="ListLabel9">
    <w:name w:val="ListLabel 9"/>
    <w:qFormat/>
    <w:rPr>
      <w:rFonts w:cs="Arial"/>
      <w:b w:val="false"/>
      <w:i w:val="false"/>
      <w:strike w:val="false"/>
      <w:dstrike w:val="false"/>
      <w:color w:val="00000A"/>
      <w:sz w:val="20"/>
      <w:szCs w:val="20"/>
      <w:u w:val="none"/>
    </w:rPr>
  </w:style>
  <w:style w:type="character" w:styleId="ListLabel10">
    <w:name w:val="ListLabel 10"/>
    <w:qFormat/>
    <w:rPr>
      <w:rFonts w:cs="Arial"/>
      <w:b w:val="false"/>
      <w:i w:val="false"/>
      <w:strike w:val="false"/>
      <w:dstrike w:val="false"/>
      <w:color w:val="00000A"/>
      <w:sz w:val="20"/>
      <w:szCs w:val="20"/>
    </w:rPr>
  </w:style>
  <w:style w:type="character" w:styleId="ListLabel11">
    <w:name w:val="ListLabel 11"/>
    <w:qFormat/>
    <w:rPr>
      <w:b/>
    </w:rPr>
  </w:style>
  <w:style w:type="character" w:styleId="ListLabel12">
    <w:name w:val="ListLabel 12"/>
    <w:qFormat/>
    <w:rPr>
      <w:rFonts w:ascii="Arial" w:hAnsi="Arial" w:cs="Arial"/>
      <w:b/>
      <w:i w:val="false"/>
      <w:strike w:val="false"/>
      <w:dstrike w:val="false"/>
      <w:color w:val="00000A"/>
      <w:sz w:val="20"/>
      <w:szCs w:val="20"/>
      <w:u w:val="none"/>
    </w:rPr>
  </w:style>
  <w:style w:type="character" w:styleId="ListLabel13">
    <w:name w:val="ListLabel 13"/>
    <w:qFormat/>
    <w:rPr>
      <w:rFonts w:ascii="Arial" w:hAnsi="Arial" w:cs="Arial"/>
      <w:b/>
      <w:i w:val="false"/>
      <w:strike w:val="false"/>
      <w:dstrike w:val="false"/>
      <w:color w:val="00000A"/>
      <w:sz w:val="20"/>
      <w:szCs w:val="20"/>
    </w:rPr>
  </w:style>
  <w:style w:type="character" w:styleId="ListLabel14">
    <w:name w:val="ListLabel 14"/>
    <w:qFormat/>
    <w:rPr>
      <w:b/>
    </w:rPr>
  </w:style>
  <w:style w:type="character" w:styleId="ListLabel15">
    <w:name w:val="ListLabel 15"/>
    <w:qFormat/>
    <w:rPr>
      <w:rFonts w:ascii="Arial" w:hAnsi="Arial" w:cs="Arial"/>
      <w:b w:val="false"/>
      <w:i w:val="false"/>
      <w:strike w:val="false"/>
      <w:dstrike w:val="false"/>
      <w:color w:val="00000A"/>
      <w:sz w:val="20"/>
      <w:szCs w:val="20"/>
      <w:u w:val="none"/>
    </w:rPr>
  </w:style>
  <w:style w:type="character" w:styleId="ListLabel16">
    <w:name w:val="ListLabel 16"/>
    <w:qFormat/>
    <w:rPr>
      <w:rFonts w:cs="Arial"/>
      <w:b w:val="false"/>
      <w:i w:val="false"/>
      <w:strike w:val="false"/>
      <w:dstrike w:val="false"/>
      <w:color w:val="00000A"/>
      <w:sz w:val="20"/>
      <w:szCs w:val="20"/>
    </w:rPr>
  </w:style>
  <w:style w:type="character" w:styleId="ListLabel17">
    <w:name w:val="ListLabel 17"/>
    <w:qFormat/>
    <w:rPr>
      <w:b/>
    </w:rPr>
  </w:style>
  <w:style w:type="character" w:styleId="ListLabel18">
    <w:name w:val="ListLabel 18"/>
    <w:qFormat/>
    <w:rPr>
      <w:rFonts w:ascii="Arial" w:hAnsi="Arial" w:cs="Arial"/>
      <w:b w:val="false"/>
      <w:i w:val="false"/>
      <w:strike w:val="false"/>
      <w:dstrike w:val="false"/>
      <w:color w:val="00000A"/>
      <w:sz w:val="20"/>
      <w:szCs w:val="20"/>
      <w:u w:val="none"/>
    </w:rPr>
  </w:style>
  <w:style w:type="character" w:styleId="ListLabel19">
    <w:name w:val="ListLabel 19"/>
    <w:qFormat/>
    <w:rPr>
      <w:rFonts w:ascii="Arial" w:hAnsi="Arial" w:cs="Arial"/>
      <w:b w:val="false"/>
      <w:i w:val="false"/>
      <w:strike w:val="false"/>
      <w:dstrike w:val="false"/>
      <w:color w:val="00000A"/>
      <w:sz w:val="20"/>
      <w:szCs w:val="20"/>
    </w:rPr>
  </w:style>
  <w:style w:type="character" w:styleId="ListLabel20">
    <w:name w:val="ListLabel 20"/>
    <w:qFormat/>
    <w:rPr>
      <w:b/>
    </w:rPr>
  </w:style>
  <w:style w:type="character" w:styleId="ListLabel21">
    <w:name w:val="ListLabel 21"/>
    <w:qFormat/>
    <w:rPr>
      <w:rFonts w:ascii="Arial" w:hAnsi="Arial" w:cs="Arial"/>
      <w:b w:val="false"/>
      <w:i w:val="false"/>
      <w:strike w:val="false"/>
      <w:dstrike w:val="false"/>
      <w:color w:val="00000A"/>
      <w:sz w:val="20"/>
      <w:szCs w:val="20"/>
      <w:u w:val="none"/>
    </w:rPr>
  </w:style>
  <w:style w:type="character" w:styleId="ListLabel22">
    <w:name w:val="ListLabel 22"/>
    <w:qFormat/>
    <w:rPr>
      <w:rFonts w:ascii="Arial" w:hAnsi="Arial" w:cs="Arial"/>
      <w:b w:val="false"/>
      <w:i w:val="false"/>
      <w:strike w:val="false"/>
      <w:dstrike w:val="false"/>
      <w:color w:val="00000A"/>
      <w:sz w:val="20"/>
      <w:szCs w:val="20"/>
    </w:rPr>
  </w:style>
  <w:style w:type="character" w:styleId="ListLabel23">
    <w:name w:val="ListLabel 23"/>
    <w:qFormat/>
    <w:rPr>
      <w:b/>
    </w:rPr>
  </w:style>
  <w:style w:type="character" w:styleId="ListLabel24">
    <w:name w:val="ListLabel 24"/>
    <w:qFormat/>
    <w:rPr>
      <w:rFonts w:ascii="Arial" w:hAnsi="Arial" w:cs="Arial"/>
      <w:b w:val="false"/>
      <w:i w:val="false"/>
      <w:strike w:val="false"/>
      <w:dstrike w:val="false"/>
      <w:color w:val="00000A"/>
      <w:sz w:val="20"/>
      <w:szCs w:val="20"/>
      <w:u w:val="none"/>
    </w:rPr>
  </w:style>
  <w:style w:type="character" w:styleId="ListLabel25">
    <w:name w:val="ListLabel 25"/>
    <w:qFormat/>
    <w:rPr>
      <w:rFonts w:ascii="Arial" w:hAnsi="Arial" w:cs="Arial"/>
      <w:b w:val="false"/>
      <w:i w:val="false"/>
      <w:strike w:val="false"/>
      <w:dstrike w:val="false"/>
      <w:color w:val="00000A"/>
      <w:sz w:val="20"/>
      <w:szCs w:val="20"/>
    </w:rPr>
  </w:style>
  <w:style w:type="character" w:styleId="ListLabel26">
    <w:name w:val="ListLabel 26"/>
    <w:qFormat/>
    <w:rPr>
      <w:b w:val="false"/>
    </w:rPr>
  </w:style>
  <w:style w:type="character" w:styleId="ListLabel27">
    <w:name w:val="ListLabel 27"/>
    <w:qFormat/>
    <w:rPr>
      <w:b/>
    </w:rPr>
  </w:style>
  <w:style w:type="character" w:styleId="ListLabel28">
    <w:name w:val="ListLabel 28"/>
    <w:qFormat/>
    <w:rPr>
      <w:rFonts w:ascii="Arial" w:hAnsi="Arial" w:cs="Arial"/>
      <w:b/>
      <w:i w:val="false"/>
      <w:strike w:val="false"/>
      <w:dstrike w:val="false"/>
      <w:color w:val="00000A"/>
      <w:sz w:val="20"/>
      <w:szCs w:val="20"/>
      <w:u w:val="none"/>
    </w:rPr>
  </w:style>
  <w:style w:type="character" w:styleId="ListLabel29">
    <w:name w:val="ListLabel 29"/>
    <w:qFormat/>
    <w:rPr>
      <w:rFonts w:cs="Arial"/>
      <w:b w:val="false"/>
      <w:i w:val="false"/>
      <w:strike w:val="false"/>
      <w:dstrike w:val="false"/>
      <w:color w:val="00000A"/>
      <w:sz w:val="20"/>
      <w:szCs w:val="20"/>
    </w:rPr>
  </w:style>
  <w:style w:type="character" w:styleId="ListLabel30">
    <w:name w:val="ListLabel 30"/>
    <w:qFormat/>
    <w:rPr>
      <w:b/>
      <w:i w:val="false"/>
      <w:strike w:val="false"/>
      <w:dstrike w:val="false"/>
    </w:rPr>
  </w:style>
  <w:style w:type="character" w:styleId="ListLabel31">
    <w:name w:val="ListLabel 31"/>
    <w:qFormat/>
    <w:rPr>
      <w:b w:val="false"/>
      <w:strike w:val="false"/>
      <w:dstrike w:val="false"/>
    </w:rPr>
  </w:style>
  <w:style w:type="character" w:styleId="ListLabel32">
    <w:name w:val="ListLabel 32"/>
    <w:qFormat/>
    <w:rPr>
      <w:i w:val="false"/>
      <w:strike w:val="false"/>
      <w:dstrike w:val="false"/>
    </w:rPr>
  </w:style>
  <w:style w:type="character" w:styleId="ListLabel33">
    <w:name w:val="ListLabel 33"/>
    <w:qFormat/>
    <w:rPr>
      <w:strike w:val="false"/>
      <w:dstrike w:val="false"/>
    </w:rPr>
  </w:style>
  <w:style w:type="character" w:styleId="ListLabel34">
    <w:name w:val="ListLabel 34"/>
    <w:qFormat/>
    <w:rPr>
      <w:b/>
    </w:rPr>
  </w:style>
  <w:style w:type="character" w:styleId="ListLabel35">
    <w:name w:val="ListLabel 35"/>
    <w:qFormat/>
    <w:rPr>
      <w:rFonts w:ascii="Arial" w:hAnsi="Arial" w:cs="Arial"/>
      <w:b w:val="false"/>
      <w:i w:val="false"/>
      <w:strike w:val="false"/>
      <w:dstrike w:val="false"/>
      <w:color w:val="00000A"/>
      <w:sz w:val="20"/>
      <w:szCs w:val="20"/>
      <w:u w:val="none"/>
    </w:rPr>
  </w:style>
  <w:style w:type="character" w:styleId="ListLabel36">
    <w:name w:val="ListLabel 36"/>
    <w:qFormat/>
    <w:rPr>
      <w:rFonts w:ascii="Arial" w:hAnsi="Arial" w:cs="Arial"/>
      <w:b w:val="false"/>
      <w:i w:val="false"/>
      <w:strike w:val="false"/>
      <w:dstrike w:val="false"/>
      <w:color w:val="00000A"/>
      <w:sz w:val="20"/>
      <w:szCs w:val="20"/>
    </w:rPr>
  </w:style>
  <w:style w:type="character" w:styleId="ListLabel37">
    <w:name w:val="ListLabel 37"/>
    <w:qFormat/>
    <w:rPr>
      <w:b/>
    </w:rPr>
  </w:style>
  <w:style w:type="character" w:styleId="ListLabel38">
    <w:name w:val="ListLabel 38"/>
    <w:qFormat/>
    <w:rPr>
      <w:rFonts w:cs="Arial"/>
      <w:b w:val="false"/>
      <w:i w:val="false"/>
      <w:strike w:val="false"/>
      <w:dstrike w:val="false"/>
      <w:color w:val="00000A"/>
      <w:sz w:val="20"/>
      <w:szCs w:val="20"/>
      <w:u w:val="none"/>
    </w:rPr>
  </w:style>
  <w:style w:type="character" w:styleId="ListLabel39">
    <w:name w:val="ListLabel 39"/>
    <w:qFormat/>
    <w:rPr>
      <w:rFonts w:ascii="Arial" w:hAnsi="Arial" w:cs="Arial"/>
      <w:b/>
      <w:i w:val="false"/>
      <w:strike w:val="false"/>
      <w:dstrike w:val="false"/>
      <w:color w:val="00000A"/>
      <w:sz w:val="20"/>
      <w:szCs w:val="20"/>
    </w:rPr>
  </w:style>
  <w:style w:type="character" w:styleId="ListLabel40">
    <w:name w:val="ListLabel 40"/>
    <w:qFormat/>
    <w:rPr>
      <w:b/>
    </w:rPr>
  </w:style>
  <w:style w:type="character" w:styleId="ListLabel41">
    <w:name w:val="ListLabel 41"/>
    <w:qFormat/>
    <w:rPr>
      <w:rFonts w:ascii="Arial" w:hAnsi="Arial" w:cs="Arial"/>
      <w:b w:val="false"/>
      <w:i w:val="false"/>
      <w:strike w:val="false"/>
      <w:dstrike w:val="false"/>
      <w:color w:val="00000A"/>
      <w:sz w:val="20"/>
      <w:szCs w:val="20"/>
      <w:u w:val="none"/>
    </w:rPr>
  </w:style>
  <w:style w:type="character" w:styleId="ListLabel42">
    <w:name w:val="ListLabel 42"/>
    <w:qFormat/>
    <w:rPr>
      <w:rFonts w:cs="Arial"/>
      <w:b w:val="false"/>
      <w:i w:val="false"/>
      <w:strike w:val="false"/>
      <w:dstrike w:val="false"/>
      <w:color w:val="00000A"/>
      <w:sz w:val="20"/>
      <w:szCs w:val="20"/>
    </w:rPr>
  </w:style>
  <w:style w:type="character" w:styleId="ListLabel43">
    <w:name w:val="ListLabel 43"/>
    <w:qFormat/>
    <w:rPr>
      <w:b/>
    </w:rPr>
  </w:style>
  <w:style w:type="character" w:styleId="ListLabel44">
    <w:name w:val="ListLabel 44"/>
    <w:qFormat/>
    <w:rPr>
      <w:rFonts w:cs="Arial"/>
      <w:b w:val="false"/>
      <w:i w:val="false"/>
      <w:strike w:val="false"/>
      <w:dstrike w:val="false"/>
      <w:color w:val="00000A"/>
      <w:sz w:val="20"/>
      <w:szCs w:val="20"/>
      <w:u w:val="none"/>
    </w:rPr>
  </w:style>
  <w:style w:type="character" w:styleId="ListLabel45">
    <w:name w:val="ListLabel 45"/>
    <w:qFormat/>
    <w:rPr>
      <w:rFonts w:cs="Arial"/>
      <w:b w:val="false"/>
      <w:i w:val="false"/>
      <w:strike w:val="false"/>
      <w:dstrike w:val="false"/>
      <w:color w:val="00000A"/>
      <w:sz w:val="20"/>
      <w:szCs w:val="20"/>
    </w:rPr>
  </w:style>
  <w:style w:type="character" w:styleId="ListLabel46">
    <w:name w:val="ListLabel 46"/>
    <w:qFormat/>
    <w:rPr>
      <w:b/>
    </w:rPr>
  </w:style>
  <w:style w:type="character" w:styleId="ListLabel47">
    <w:name w:val="ListLabel 47"/>
    <w:qFormat/>
    <w:rPr>
      <w:rFonts w:cs="Arial"/>
      <w:b w:val="false"/>
      <w:i w:val="false"/>
      <w:strike w:val="false"/>
      <w:dstrike w:val="false"/>
      <w:color w:val="00000A"/>
      <w:sz w:val="20"/>
      <w:szCs w:val="20"/>
      <w:u w:val="none"/>
    </w:rPr>
  </w:style>
  <w:style w:type="character" w:styleId="ListLabel48">
    <w:name w:val="ListLabel 48"/>
    <w:qFormat/>
    <w:rPr>
      <w:rFonts w:cs="Arial"/>
      <w:b w:val="false"/>
      <w:i w:val="false"/>
      <w:strike w:val="false"/>
      <w:dstrike w:val="false"/>
      <w:color w:val="00000A"/>
      <w:sz w:val="20"/>
      <w:szCs w:val="20"/>
    </w:rPr>
  </w:style>
  <w:style w:type="character" w:styleId="ListLabel49">
    <w:name w:val="ListLabel 49"/>
    <w:qFormat/>
    <w:rPr>
      <w:b/>
    </w:rPr>
  </w:style>
  <w:style w:type="character" w:styleId="ListLabel50">
    <w:name w:val="ListLabel 50"/>
    <w:qFormat/>
    <w:rPr>
      <w:rFonts w:cs="Arial"/>
      <w:b w:val="false"/>
      <w:i w:val="false"/>
      <w:strike w:val="false"/>
      <w:dstrike w:val="false"/>
      <w:color w:val="00000A"/>
      <w:sz w:val="20"/>
      <w:szCs w:val="20"/>
      <w:u w:val="none"/>
    </w:rPr>
  </w:style>
  <w:style w:type="character" w:styleId="ListLabel51">
    <w:name w:val="ListLabel 51"/>
    <w:qFormat/>
    <w:rPr>
      <w:rFonts w:cs="Arial"/>
      <w:b w:val="false"/>
      <w:i w:val="false"/>
      <w:strike w:val="false"/>
      <w:dstrike w:val="false"/>
      <w:color w:val="00000A"/>
      <w:sz w:val="20"/>
      <w:szCs w:val="20"/>
    </w:rPr>
  </w:style>
  <w:style w:type="character" w:styleId="ListLabel52">
    <w:name w:val="ListLabel 52"/>
    <w:qFormat/>
    <w:rPr>
      <w:rFonts w:ascii="Arial" w:hAnsi="Arial"/>
      <w:b/>
      <w:sz w:val="20"/>
      <w:szCs w:val="20"/>
    </w:rPr>
  </w:style>
  <w:style w:type="character" w:styleId="ListLabel53">
    <w:name w:val="ListLabel 53"/>
    <w:qFormat/>
    <w:rPr>
      <w:rFonts w:ascii="Arial" w:hAnsi="Arial" w:cs="Arial"/>
      <w:b/>
      <w:i w:val="false"/>
      <w:strike w:val="false"/>
      <w:dstrike w:val="false"/>
      <w:color w:val="00000A"/>
      <w:sz w:val="20"/>
      <w:szCs w:val="20"/>
      <w:u w:val="none"/>
    </w:rPr>
  </w:style>
  <w:style w:type="character" w:styleId="ListLabel54">
    <w:name w:val="ListLabel 54"/>
    <w:qFormat/>
    <w:rPr>
      <w:rFonts w:ascii="Arial" w:hAnsi="Arial" w:cs="Arial"/>
      <w:b/>
      <w:i w:val="false"/>
      <w:strike w:val="false"/>
      <w:dstrike w:val="false"/>
      <w:color w:val="00000A"/>
      <w:sz w:val="20"/>
      <w:szCs w:val="20"/>
    </w:rPr>
  </w:style>
  <w:style w:type="character" w:styleId="ListLabel55">
    <w:name w:val="ListLabel 55"/>
    <w:qFormat/>
    <w:rPr>
      <w:b/>
    </w:rPr>
  </w:style>
  <w:style w:type="character" w:styleId="ListLabel56">
    <w:name w:val="ListLabel 56"/>
    <w:qFormat/>
    <w:rPr>
      <w:rFonts w:ascii="Arial" w:hAnsi="Arial" w:cs="Arial"/>
      <w:b/>
      <w:i w:val="false"/>
      <w:strike w:val="false"/>
      <w:dstrike w:val="false"/>
      <w:color w:val="00000A"/>
      <w:sz w:val="20"/>
      <w:szCs w:val="20"/>
      <w:u w:val="none"/>
    </w:rPr>
  </w:style>
  <w:style w:type="character" w:styleId="ListLabel57">
    <w:name w:val="ListLabel 57"/>
    <w:qFormat/>
    <w:rPr>
      <w:rFonts w:cs="Arial"/>
      <w:b w:val="false"/>
      <w:i w:val="false"/>
      <w:strike w:val="false"/>
      <w:dstrike w:val="false"/>
      <w:color w:val="00000A"/>
      <w:sz w:val="20"/>
      <w:szCs w:val="20"/>
    </w:rPr>
  </w:style>
  <w:style w:type="character" w:styleId="ListLabel58">
    <w:name w:val="ListLabel 58"/>
    <w:qFormat/>
    <w:rPr>
      <w:rFonts w:ascii="Arial" w:hAnsi="Arial"/>
      <w:b/>
    </w:rPr>
  </w:style>
  <w:style w:type="character" w:styleId="ListLabel59">
    <w:name w:val="ListLabel 59"/>
    <w:qFormat/>
    <w:rPr>
      <w:rFonts w:ascii="Arial" w:hAnsi="Arial" w:cs="Arial"/>
      <w:b w:val="false"/>
      <w:i w:val="false"/>
      <w:strike w:val="false"/>
      <w:dstrike w:val="false"/>
      <w:color w:val="00000A"/>
      <w:sz w:val="20"/>
      <w:szCs w:val="20"/>
      <w:u w:val="none"/>
    </w:rPr>
  </w:style>
  <w:style w:type="character" w:styleId="ListLabel60">
    <w:name w:val="ListLabel 60"/>
    <w:qFormat/>
    <w:rPr>
      <w:rFonts w:ascii="Arial" w:hAnsi="Arial" w:cs="Arial"/>
      <w:b w:val="false"/>
      <w:i w:val="false"/>
      <w:strike w:val="false"/>
      <w:dstrike w:val="false"/>
      <w:color w:val="00000A"/>
      <w:sz w:val="20"/>
      <w:szCs w:val="20"/>
    </w:rPr>
  </w:style>
  <w:style w:type="character" w:styleId="ListLabel61">
    <w:name w:val="ListLabel 61"/>
    <w:qFormat/>
    <w:rPr>
      <w:b/>
    </w:rPr>
  </w:style>
  <w:style w:type="character" w:styleId="ListLabel62">
    <w:name w:val="ListLabel 62"/>
    <w:qFormat/>
    <w:rPr>
      <w:rFonts w:ascii="Arial" w:hAnsi="Arial" w:cs="Arial"/>
      <w:b w:val="false"/>
      <w:i w:val="false"/>
      <w:strike w:val="false"/>
      <w:dstrike w:val="false"/>
      <w:color w:val="00000A"/>
      <w:sz w:val="20"/>
      <w:szCs w:val="20"/>
      <w:u w:val="none"/>
    </w:rPr>
  </w:style>
  <w:style w:type="character" w:styleId="ListLabel63">
    <w:name w:val="ListLabel 63"/>
    <w:qFormat/>
    <w:rPr>
      <w:rFonts w:ascii="Arial" w:hAnsi="Arial" w:cs="Arial"/>
      <w:b w:val="false"/>
      <w:i w:val="false"/>
      <w:strike w:val="false"/>
      <w:dstrike w:val="false"/>
      <w:color w:val="00000A"/>
      <w:sz w:val="20"/>
      <w:szCs w:val="20"/>
    </w:rPr>
  </w:style>
  <w:style w:type="character" w:styleId="ListLabel64">
    <w:name w:val="ListLabel 64"/>
    <w:qFormat/>
    <w:rPr>
      <w:b/>
    </w:rPr>
  </w:style>
  <w:style w:type="character" w:styleId="ListLabel65">
    <w:name w:val="ListLabel 65"/>
    <w:qFormat/>
    <w:rPr>
      <w:rFonts w:ascii="Arial" w:hAnsi="Arial" w:cs="Arial"/>
      <w:b w:val="false"/>
      <w:i w:val="false"/>
      <w:strike w:val="false"/>
      <w:dstrike w:val="false"/>
      <w:color w:val="00000A"/>
      <w:sz w:val="20"/>
      <w:szCs w:val="20"/>
      <w:u w:val="none"/>
    </w:rPr>
  </w:style>
  <w:style w:type="character" w:styleId="ListLabel66">
    <w:name w:val="ListLabel 66"/>
    <w:qFormat/>
    <w:rPr>
      <w:rFonts w:ascii="Arial" w:hAnsi="Arial" w:cs="Arial"/>
      <w:b w:val="false"/>
      <w:i w:val="false"/>
      <w:strike w:val="false"/>
      <w:dstrike w:val="false"/>
      <w:color w:val="00000A"/>
      <w:sz w:val="20"/>
      <w:szCs w:val="20"/>
    </w:rPr>
  </w:style>
  <w:style w:type="character" w:styleId="ListLabel67">
    <w:name w:val="ListLabel 67"/>
    <w:qFormat/>
    <w:rPr>
      <w:b/>
    </w:rPr>
  </w:style>
  <w:style w:type="character" w:styleId="ListLabel68">
    <w:name w:val="ListLabel 68"/>
    <w:qFormat/>
    <w:rPr>
      <w:rFonts w:ascii="Arial" w:hAnsi="Arial" w:cs="Arial"/>
      <w:b w:val="false"/>
      <w:i w:val="false"/>
      <w:strike w:val="false"/>
      <w:dstrike w:val="false"/>
      <w:color w:val="00000A"/>
      <w:sz w:val="20"/>
      <w:szCs w:val="20"/>
      <w:u w:val="none"/>
    </w:rPr>
  </w:style>
  <w:style w:type="character" w:styleId="ListLabel69">
    <w:name w:val="ListLabel 69"/>
    <w:qFormat/>
    <w:rPr>
      <w:rFonts w:ascii="Arial" w:hAnsi="Arial" w:cs="Arial"/>
      <w:b w:val="false"/>
      <w:i w:val="false"/>
      <w:strike w:val="false"/>
      <w:dstrike w:val="false"/>
      <w:color w:val="00000A"/>
      <w:sz w:val="20"/>
      <w:szCs w:val="20"/>
    </w:rPr>
  </w:style>
  <w:style w:type="character" w:styleId="ListLabel70">
    <w:name w:val="ListLabel 70"/>
    <w:qFormat/>
    <w:rPr>
      <w:b/>
    </w:rPr>
  </w:style>
  <w:style w:type="character" w:styleId="ListLabel71">
    <w:name w:val="ListLabel 71"/>
    <w:qFormat/>
    <w:rPr>
      <w:rFonts w:ascii="Arial" w:hAnsi="Arial" w:cs="Arial"/>
      <w:b w:val="false"/>
      <w:i w:val="false"/>
      <w:strike w:val="false"/>
      <w:dstrike w:val="false"/>
      <w:color w:val="00000A"/>
      <w:sz w:val="20"/>
      <w:szCs w:val="20"/>
      <w:u w:val="none"/>
    </w:rPr>
  </w:style>
  <w:style w:type="character" w:styleId="ListLabel72">
    <w:name w:val="ListLabel 72"/>
    <w:qFormat/>
    <w:rPr>
      <w:rFonts w:ascii="Arial" w:hAnsi="Arial" w:cs="Arial"/>
      <w:b w:val="false"/>
      <w:i w:val="false"/>
      <w:strike w:val="false"/>
      <w:dstrike w:val="false"/>
      <w:color w:val="00000A"/>
      <w:sz w:val="20"/>
      <w:szCs w:val="20"/>
    </w:rPr>
  </w:style>
  <w:style w:type="character" w:styleId="ListLabel73">
    <w:name w:val="ListLabel 73"/>
    <w:qFormat/>
    <w:rPr>
      <w:b w:val="false"/>
    </w:rPr>
  </w:style>
  <w:style w:type="character" w:styleId="ListLabel74">
    <w:name w:val="ListLabel 74"/>
    <w:qFormat/>
    <w:rPr>
      <w:b/>
    </w:rPr>
  </w:style>
  <w:style w:type="character" w:styleId="ListLabel75">
    <w:name w:val="ListLabel 75"/>
    <w:qFormat/>
    <w:rPr>
      <w:rFonts w:ascii="Arial" w:hAnsi="Arial" w:cs="Arial"/>
      <w:b/>
      <w:i w:val="false"/>
      <w:strike w:val="false"/>
      <w:dstrike w:val="false"/>
      <w:color w:val="00000A"/>
      <w:sz w:val="20"/>
      <w:szCs w:val="20"/>
      <w:u w:val="none"/>
    </w:rPr>
  </w:style>
  <w:style w:type="character" w:styleId="ListLabel76">
    <w:name w:val="ListLabel 76"/>
    <w:qFormat/>
    <w:rPr>
      <w:rFonts w:cs="Arial"/>
      <w:b w:val="false"/>
      <w:i w:val="false"/>
      <w:strike w:val="false"/>
      <w:dstrike w:val="false"/>
      <w:color w:val="00000A"/>
      <w:sz w:val="20"/>
      <w:szCs w:val="20"/>
    </w:rPr>
  </w:style>
  <w:style w:type="character" w:styleId="ListLabel77">
    <w:name w:val="ListLabel 77"/>
    <w:qFormat/>
    <w:rPr>
      <w:strike w:val="false"/>
      <w:dstrike w:val="false"/>
    </w:rPr>
  </w:style>
  <w:style w:type="character" w:styleId="ListLabel78">
    <w:name w:val="ListLabel 78"/>
    <w:qFormat/>
    <w:rPr>
      <w:b/>
    </w:rPr>
  </w:style>
  <w:style w:type="character" w:styleId="ListLabel79">
    <w:name w:val="ListLabel 79"/>
    <w:qFormat/>
    <w:rPr>
      <w:rFonts w:ascii="Arial" w:hAnsi="Arial" w:cs="Arial"/>
      <w:b w:val="false"/>
      <w:i w:val="false"/>
      <w:strike w:val="false"/>
      <w:dstrike w:val="false"/>
      <w:color w:val="00000A"/>
      <w:sz w:val="20"/>
      <w:szCs w:val="20"/>
      <w:u w:val="none"/>
    </w:rPr>
  </w:style>
  <w:style w:type="character" w:styleId="ListLabel80">
    <w:name w:val="ListLabel 80"/>
    <w:qFormat/>
    <w:rPr>
      <w:rFonts w:ascii="Arial" w:hAnsi="Arial" w:cs="Arial"/>
      <w:b w:val="false"/>
      <w:i w:val="false"/>
      <w:strike w:val="false"/>
      <w:dstrike w:val="false"/>
      <w:color w:val="00000A"/>
      <w:sz w:val="20"/>
      <w:szCs w:val="20"/>
    </w:rPr>
  </w:style>
  <w:style w:type="character" w:styleId="ListLabel81">
    <w:name w:val="ListLabel 81"/>
    <w:qFormat/>
    <w:rPr>
      <w:b/>
    </w:rPr>
  </w:style>
  <w:style w:type="character" w:styleId="ListLabel82">
    <w:name w:val="ListLabel 82"/>
    <w:qFormat/>
    <w:rPr>
      <w:rFonts w:cs="Arial"/>
      <w:b w:val="false"/>
      <w:i w:val="false"/>
      <w:strike w:val="false"/>
      <w:dstrike w:val="false"/>
      <w:color w:val="00000A"/>
      <w:sz w:val="20"/>
      <w:szCs w:val="20"/>
      <w:u w:val="none"/>
    </w:rPr>
  </w:style>
  <w:style w:type="character" w:styleId="ListLabel83">
    <w:name w:val="ListLabel 83"/>
    <w:qFormat/>
    <w:rPr>
      <w:rFonts w:ascii="Arial" w:hAnsi="Arial" w:cs="Arial"/>
      <w:b/>
      <w:i w:val="false"/>
      <w:strike w:val="false"/>
      <w:dstrike w:val="false"/>
      <w:color w:val="00000A"/>
      <w:sz w:val="20"/>
      <w:szCs w:val="20"/>
    </w:rPr>
  </w:style>
  <w:style w:type="character" w:styleId="ListLabel84">
    <w:name w:val="ListLabel 84"/>
    <w:qFormat/>
    <w:rPr>
      <w:b/>
    </w:rPr>
  </w:style>
  <w:style w:type="character" w:styleId="ListLabel85">
    <w:name w:val="ListLabel 85"/>
    <w:qFormat/>
    <w:rPr>
      <w:rFonts w:ascii="Arial" w:hAnsi="Arial" w:cs="Arial"/>
      <w:b w:val="false"/>
      <w:i w:val="false"/>
      <w:strike w:val="false"/>
      <w:dstrike w:val="false"/>
      <w:color w:val="00000A"/>
      <w:sz w:val="20"/>
      <w:szCs w:val="20"/>
      <w:u w:val="none"/>
    </w:rPr>
  </w:style>
  <w:style w:type="character" w:styleId="ListLabel86">
    <w:name w:val="ListLabel 86"/>
    <w:qFormat/>
    <w:rPr>
      <w:rFonts w:cs="Arial"/>
      <w:b w:val="false"/>
      <w:i w:val="false"/>
      <w:strike w:val="false"/>
      <w:dstrike w:val="false"/>
      <w:color w:val="00000A"/>
      <w:sz w:val="20"/>
      <w:szCs w:val="20"/>
    </w:rPr>
  </w:style>
  <w:style w:type="character" w:styleId="Smbolosdenumerao">
    <w:name w:val="Símbolos de numeração"/>
    <w:qFormat/>
    <w:rPr/>
  </w:style>
  <w:style w:type="character" w:styleId="Fontepargpadro">
    <w:name w:val="Fonte parág. padrão"/>
    <w:qFormat/>
    <w:rPr/>
  </w:style>
  <w:style w:type="character" w:styleId="ListLabel87">
    <w:name w:val="ListLabel 87"/>
    <w:qFormat/>
    <w:rPr>
      <w:b/>
      <w:sz w:val="20"/>
      <w:szCs w:val="20"/>
    </w:rPr>
  </w:style>
  <w:style w:type="character" w:styleId="ListLabel88">
    <w:name w:val="ListLabel 88"/>
    <w:qFormat/>
    <w:rPr>
      <w:rFonts w:ascii="Arial" w:hAnsi="Arial" w:cs="Arial"/>
      <w:b/>
      <w:i w:val="false"/>
      <w:strike w:val="false"/>
      <w:dstrike w:val="false"/>
      <w:color w:val="00000A"/>
      <w:sz w:val="20"/>
      <w:szCs w:val="20"/>
      <w:u w:val="none"/>
    </w:rPr>
  </w:style>
  <w:style w:type="character" w:styleId="ListLabel89">
    <w:name w:val="ListLabel 89"/>
    <w:qFormat/>
    <w:rPr>
      <w:rFonts w:cs="Arial"/>
      <w:b/>
      <w:i w:val="false"/>
      <w:strike w:val="false"/>
      <w:dstrike w:val="false"/>
      <w:color w:val="00000A"/>
      <w:sz w:val="20"/>
      <w:szCs w:val="20"/>
    </w:rPr>
  </w:style>
  <w:style w:type="character" w:styleId="ListLabel90">
    <w:name w:val="ListLabel 90"/>
    <w:qFormat/>
    <w:rPr>
      <w:b/>
    </w:rPr>
  </w:style>
  <w:style w:type="character" w:styleId="ListLabel91">
    <w:name w:val="ListLabel 91"/>
    <w:qFormat/>
    <w:rPr>
      <w:rFonts w:cs="Arial"/>
      <w:b/>
      <w:i w:val="false"/>
      <w:strike w:val="false"/>
      <w:dstrike w:val="false"/>
      <w:color w:val="00000A"/>
      <w:sz w:val="20"/>
      <w:szCs w:val="20"/>
      <w:u w:val="none"/>
    </w:rPr>
  </w:style>
  <w:style w:type="character" w:styleId="ListLabel92">
    <w:name w:val="ListLabel 92"/>
    <w:qFormat/>
    <w:rPr>
      <w:rFonts w:cs="Arial"/>
      <w:b w:val="false"/>
      <w:i w:val="false"/>
      <w:strike w:val="false"/>
      <w:dstrike w:val="false"/>
      <w:color w:val="00000A"/>
      <w:sz w:val="20"/>
      <w:szCs w:val="20"/>
    </w:rPr>
  </w:style>
  <w:style w:type="character" w:styleId="ListLabel93">
    <w:name w:val="ListLabel 93"/>
    <w:qFormat/>
    <w:rPr>
      <w:rFonts w:ascii="Arial" w:hAnsi="Arial"/>
      <w:b/>
    </w:rPr>
  </w:style>
  <w:style w:type="character" w:styleId="ListLabel94">
    <w:name w:val="ListLabel 94"/>
    <w:qFormat/>
    <w:rPr>
      <w:rFonts w:ascii="Arial" w:hAnsi="Arial" w:cs="Arial"/>
      <w:b w:val="false"/>
      <w:i w:val="false"/>
      <w:strike w:val="false"/>
      <w:dstrike w:val="false"/>
      <w:color w:val="00000A"/>
      <w:sz w:val="20"/>
      <w:szCs w:val="20"/>
      <w:u w:val="none"/>
    </w:rPr>
  </w:style>
  <w:style w:type="character" w:styleId="ListLabel95">
    <w:name w:val="ListLabel 95"/>
    <w:qFormat/>
    <w:rPr>
      <w:rFonts w:ascii="Arial" w:hAnsi="Arial" w:cs="Arial"/>
      <w:b w:val="false"/>
      <w:i w:val="false"/>
      <w:strike w:val="false"/>
      <w:dstrike w:val="false"/>
      <w:color w:val="00000A"/>
      <w:sz w:val="20"/>
      <w:szCs w:val="20"/>
    </w:rPr>
  </w:style>
  <w:style w:type="character" w:styleId="ListLabel96">
    <w:name w:val="ListLabel 96"/>
    <w:qFormat/>
    <w:rPr>
      <w:b/>
    </w:rPr>
  </w:style>
  <w:style w:type="character" w:styleId="ListLabel97">
    <w:name w:val="ListLabel 97"/>
    <w:qFormat/>
    <w:rPr>
      <w:rFonts w:cs="Arial"/>
      <w:b w:val="false"/>
      <w:i w:val="false"/>
      <w:strike w:val="false"/>
      <w:dstrike w:val="false"/>
      <w:color w:val="00000A"/>
      <w:sz w:val="20"/>
      <w:szCs w:val="20"/>
      <w:u w:val="none"/>
    </w:rPr>
  </w:style>
  <w:style w:type="character" w:styleId="ListLabel98">
    <w:name w:val="ListLabel 98"/>
    <w:qFormat/>
    <w:rPr>
      <w:rFonts w:cs="Arial"/>
      <w:b w:val="false"/>
      <w:i w:val="false"/>
      <w:strike w:val="false"/>
      <w:dstrike w:val="false"/>
      <w:color w:val="00000A"/>
      <w:sz w:val="20"/>
      <w:szCs w:val="20"/>
    </w:rPr>
  </w:style>
  <w:style w:type="character" w:styleId="ListLabel99">
    <w:name w:val="ListLabel 99"/>
    <w:qFormat/>
    <w:rPr>
      <w:b/>
    </w:rPr>
  </w:style>
  <w:style w:type="character" w:styleId="ListLabel100">
    <w:name w:val="ListLabel 100"/>
    <w:qFormat/>
    <w:rPr>
      <w:rFonts w:cs="Arial"/>
      <w:b w:val="false"/>
      <w:i w:val="false"/>
      <w:strike w:val="false"/>
      <w:dstrike w:val="false"/>
      <w:color w:val="00000A"/>
      <w:sz w:val="20"/>
      <w:szCs w:val="20"/>
      <w:u w:val="none"/>
    </w:rPr>
  </w:style>
  <w:style w:type="character" w:styleId="ListLabel101">
    <w:name w:val="ListLabel 101"/>
    <w:qFormat/>
    <w:rPr>
      <w:rFonts w:cs="Arial"/>
      <w:b w:val="false"/>
      <w:i w:val="false"/>
      <w:strike w:val="false"/>
      <w:dstrike w:val="false"/>
      <w:color w:val="00000A"/>
      <w:sz w:val="20"/>
      <w:szCs w:val="20"/>
    </w:rPr>
  </w:style>
  <w:style w:type="character" w:styleId="ListLabel102">
    <w:name w:val="ListLabel 102"/>
    <w:qFormat/>
    <w:rPr>
      <w:b/>
    </w:rPr>
  </w:style>
  <w:style w:type="character" w:styleId="ListLabel103">
    <w:name w:val="ListLabel 103"/>
    <w:qFormat/>
    <w:rPr>
      <w:rFonts w:cs="Arial"/>
      <w:b w:val="false"/>
      <w:i w:val="false"/>
      <w:strike w:val="false"/>
      <w:dstrike w:val="false"/>
      <w:color w:val="00000A"/>
      <w:sz w:val="20"/>
      <w:szCs w:val="20"/>
      <w:u w:val="none"/>
    </w:rPr>
  </w:style>
  <w:style w:type="character" w:styleId="ListLabel104">
    <w:name w:val="ListLabel 104"/>
    <w:qFormat/>
    <w:rPr>
      <w:rFonts w:cs="Arial"/>
      <w:b w:val="false"/>
      <w:i w:val="false"/>
      <w:strike w:val="false"/>
      <w:dstrike w:val="false"/>
      <w:color w:val="00000A"/>
      <w:sz w:val="20"/>
      <w:szCs w:val="20"/>
    </w:rPr>
  </w:style>
  <w:style w:type="character" w:styleId="ListLabel105">
    <w:name w:val="ListLabel 105"/>
    <w:qFormat/>
    <w:rPr>
      <w:b/>
    </w:rPr>
  </w:style>
  <w:style w:type="character" w:styleId="ListLabel106">
    <w:name w:val="ListLabel 106"/>
    <w:qFormat/>
    <w:rPr>
      <w:rFonts w:cs="Arial"/>
      <w:b w:val="false"/>
      <w:i w:val="false"/>
      <w:strike w:val="false"/>
      <w:dstrike w:val="false"/>
      <w:color w:val="00000A"/>
      <w:sz w:val="20"/>
      <w:szCs w:val="20"/>
      <w:u w:val="none"/>
    </w:rPr>
  </w:style>
  <w:style w:type="character" w:styleId="ListLabel107">
    <w:name w:val="ListLabel 107"/>
    <w:qFormat/>
    <w:rPr>
      <w:rFonts w:cs="Arial"/>
      <w:b w:val="false"/>
      <w:i w:val="false"/>
      <w:strike w:val="false"/>
      <w:dstrike w:val="false"/>
      <w:color w:val="00000A"/>
      <w:sz w:val="20"/>
      <w:szCs w:val="20"/>
    </w:rPr>
  </w:style>
  <w:style w:type="character" w:styleId="ListLabel108">
    <w:name w:val="ListLabel 108"/>
    <w:qFormat/>
    <w:rPr>
      <w:b w:val="false"/>
    </w:rPr>
  </w:style>
  <w:style w:type="character" w:styleId="ListLabel109">
    <w:name w:val="ListLabel 109"/>
    <w:qFormat/>
    <w:rPr>
      <w:b/>
    </w:rPr>
  </w:style>
  <w:style w:type="character" w:styleId="ListLabel110">
    <w:name w:val="ListLabel 110"/>
    <w:qFormat/>
    <w:rPr>
      <w:rFonts w:cs="Arial"/>
      <w:b/>
      <w:i w:val="false"/>
      <w:strike w:val="false"/>
      <w:dstrike w:val="false"/>
      <w:color w:val="00000A"/>
      <w:sz w:val="20"/>
      <w:szCs w:val="20"/>
      <w:u w:val="none"/>
    </w:rPr>
  </w:style>
  <w:style w:type="character" w:styleId="ListLabel111">
    <w:name w:val="ListLabel 111"/>
    <w:qFormat/>
    <w:rPr>
      <w:rFonts w:cs="Arial"/>
      <w:b w:val="false"/>
      <w:i w:val="false"/>
      <w:strike w:val="false"/>
      <w:dstrike w:val="false"/>
      <w:color w:val="00000A"/>
      <w:sz w:val="20"/>
      <w:szCs w:val="20"/>
    </w:rPr>
  </w:style>
  <w:style w:type="character" w:styleId="ListLabel112">
    <w:name w:val="ListLabel 112"/>
    <w:qFormat/>
    <w:rPr>
      <w:rFonts w:ascii="Arial" w:hAnsi="Arial"/>
      <w:strike w:val="false"/>
      <w:dstrike w:val="false"/>
      <w:sz w:val="20"/>
    </w:rPr>
  </w:style>
  <w:style w:type="character" w:styleId="ListLabel113">
    <w:name w:val="ListLabel 113"/>
    <w:qFormat/>
    <w:rPr>
      <w:b/>
    </w:rPr>
  </w:style>
  <w:style w:type="character" w:styleId="ListLabel114">
    <w:name w:val="ListLabel 114"/>
    <w:qFormat/>
    <w:rPr>
      <w:rFonts w:ascii="Arial" w:hAnsi="Arial" w:cs="Arial"/>
      <w:b w:val="false"/>
      <w:i w:val="false"/>
      <w:strike w:val="false"/>
      <w:dstrike w:val="false"/>
      <w:color w:val="00000A"/>
      <w:sz w:val="20"/>
      <w:szCs w:val="20"/>
      <w:u w:val="none"/>
    </w:rPr>
  </w:style>
  <w:style w:type="character" w:styleId="ListLabel115">
    <w:name w:val="ListLabel 115"/>
    <w:qFormat/>
    <w:rPr>
      <w:rFonts w:ascii="Arial" w:hAnsi="Arial" w:cs="Arial"/>
      <w:b w:val="false"/>
      <w:i w:val="false"/>
      <w:strike w:val="false"/>
      <w:dstrike w:val="false"/>
      <w:color w:val="00000A"/>
      <w:sz w:val="20"/>
      <w:szCs w:val="20"/>
    </w:rPr>
  </w:style>
  <w:style w:type="character" w:styleId="ListLabel116">
    <w:name w:val="ListLabel 116"/>
    <w:qFormat/>
    <w:rPr>
      <w:b/>
    </w:rPr>
  </w:style>
  <w:style w:type="character" w:styleId="ListLabel117">
    <w:name w:val="ListLabel 117"/>
    <w:qFormat/>
    <w:rPr>
      <w:rFonts w:cs="Arial"/>
      <w:b w:val="false"/>
      <w:i w:val="false"/>
      <w:strike w:val="false"/>
      <w:dstrike w:val="false"/>
      <w:color w:val="00000A"/>
      <w:sz w:val="20"/>
      <w:szCs w:val="20"/>
      <w:u w:val="none"/>
    </w:rPr>
  </w:style>
  <w:style w:type="character" w:styleId="ListLabel118">
    <w:name w:val="ListLabel 118"/>
    <w:qFormat/>
    <w:rPr>
      <w:rFonts w:cs="Arial"/>
      <w:b/>
      <w:i w:val="false"/>
      <w:strike w:val="false"/>
      <w:dstrike w:val="false"/>
      <w:color w:val="00000A"/>
      <w:sz w:val="20"/>
      <w:szCs w:val="20"/>
    </w:rPr>
  </w:style>
  <w:style w:type="character" w:styleId="ListLabel119">
    <w:name w:val="ListLabel 119"/>
    <w:qFormat/>
    <w:rPr>
      <w:b/>
    </w:rPr>
  </w:style>
  <w:style w:type="character" w:styleId="ListLabel120">
    <w:name w:val="ListLabel 120"/>
    <w:qFormat/>
    <w:rPr>
      <w:rFonts w:ascii="Arial" w:hAnsi="Arial" w:cs="Arial"/>
      <w:b w:val="false"/>
      <w:i w:val="false"/>
      <w:strike w:val="false"/>
      <w:dstrike w:val="false"/>
      <w:color w:val="00000A"/>
      <w:sz w:val="20"/>
      <w:szCs w:val="20"/>
      <w:u w:val="none"/>
    </w:rPr>
  </w:style>
  <w:style w:type="character" w:styleId="ListLabel121">
    <w:name w:val="ListLabel 121"/>
    <w:qFormat/>
    <w:rPr>
      <w:rFonts w:cs="Arial"/>
      <w:b w:val="false"/>
      <w:i w:val="false"/>
      <w:strike w:val="false"/>
      <w:dstrike w:val="false"/>
      <w:color w:val="00000A"/>
      <w:sz w:val="20"/>
      <w:szCs w:val="20"/>
    </w:rPr>
  </w:style>
  <w:style w:type="character" w:styleId="ListLabel122">
    <w:name w:val="ListLabel 122"/>
    <w:qFormat/>
    <w:rPr>
      <w:rFonts w:ascii="Arial" w:hAnsi="Arial"/>
      <w:b/>
      <w:sz w:val="20"/>
      <w:szCs w:val="20"/>
    </w:rPr>
  </w:style>
  <w:style w:type="character" w:styleId="ListLabel123">
    <w:name w:val="ListLabel 123"/>
    <w:qFormat/>
    <w:rPr>
      <w:rFonts w:ascii="Arial" w:hAnsi="Arial" w:cs="Arial"/>
      <w:b/>
      <w:i w:val="false"/>
      <w:strike w:val="false"/>
      <w:dstrike w:val="false"/>
      <w:color w:val="00000A"/>
      <w:sz w:val="20"/>
      <w:szCs w:val="20"/>
      <w:u w:val="none"/>
    </w:rPr>
  </w:style>
  <w:style w:type="character" w:styleId="ListLabel124">
    <w:name w:val="ListLabel 124"/>
    <w:qFormat/>
    <w:rPr>
      <w:rFonts w:cs="Arial"/>
      <w:b/>
      <w:i w:val="false"/>
      <w:strike w:val="false"/>
      <w:dstrike w:val="false"/>
      <w:color w:val="00000A"/>
      <w:sz w:val="20"/>
      <w:szCs w:val="20"/>
    </w:rPr>
  </w:style>
  <w:style w:type="character" w:styleId="ListLabel125">
    <w:name w:val="ListLabel 125"/>
    <w:qFormat/>
    <w:rPr>
      <w:b/>
      <w:sz w:val="20"/>
      <w:szCs w:val="20"/>
    </w:rPr>
  </w:style>
  <w:style w:type="character" w:styleId="ListLabel126">
    <w:name w:val="ListLabel 126"/>
    <w:qFormat/>
    <w:rPr>
      <w:rFonts w:ascii="Arial" w:hAnsi="Arial" w:cs="Arial"/>
      <w:b/>
      <w:i w:val="false"/>
      <w:strike w:val="false"/>
      <w:dstrike w:val="false"/>
      <w:color w:val="00000A"/>
      <w:sz w:val="20"/>
      <w:szCs w:val="20"/>
      <w:u w:val="none"/>
    </w:rPr>
  </w:style>
  <w:style w:type="character" w:styleId="ListLabel127">
    <w:name w:val="ListLabel 127"/>
    <w:qFormat/>
    <w:rPr>
      <w:rFonts w:cs="Arial"/>
      <w:b/>
      <w:i w:val="false"/>
      <w:strike w:val="false"/>
      <w:dstrike w:val="false"/>
      <w:color w:val="00000A"/>
      <w:sz w:val="20"/>
      <w:szCs w:val="20"/>
    </w:rPr>
  </w:style>
  <w:style w:type="character" w:styleId="ListLabel128">
    <w:name w:val="ListLabel 128"/>
    <w:qFormat/>
    <w:rPr>
      <w:rFonts w:ascii="Arial" w:hAnsi="Arial"/>
      <w:b/>
    </w:rPr>
  </w:style>
  <w:style w:type="character" w:styleId="ListLabel129">
    <w:name w:val="ListLabel 129"/>
    <w:qFormat/>
    <w:rPr>
      <w:rFonts w:ascii="Arial" w:hAnsi="Arial" w:cs="Arial"/>
      <w:b w:val="false"/>
      <w:i w:val="false"/>
      <w:strike w:val="false"/>
      <w:dstrike w:val="false"/>
      <w:color w:val="00000A"/>
      <w:sz w:val="20"/>
      <w:szCs w:val="20"/>
      <w:u w:val="none"/>
    </w:rPr>
  </w:style>
  <w:style w:type="character" w:styleId="ListLabel130">
    <w:name w:val="ListLabel 130"/>
    <w:qFormat/>
    <w:rPr>
      <w:rFonts w:ascii="Arial" w:hAnsi="Arial" w:cs="Arial"/>
      <w:b w:val="false"/>
      <w:i w:val="false"/>
      <w:strike w:val="false"/>
      <w:dstrike w:val="false"/>
      <w:color w:val="00000A"/>
      <w:sz w:val="20"/>
      <w:szCs w:val="20"/>
    </w:rPr>
  </w:style>
  <w:style w:type="character" w:styleId="ListLabel131">
    <w:name w:val="ListLabel 131"/>
    <w:qFormat/>
    <w:rPr>
      <w:b w:val="false"/>
    </w:rPr>
  </w:style>
  <w:style w:type="character" w:styleId="ListLabel132">
    <w:name w:val="ListLabel 132"/>
    <w:qFormat/>
    <w:rPr>
      <w:rFonts w:ascii="Arial" w:hAnsi="Arial"/>
      <w:strike w:val="false"/>
      <w:dstrike w:val="false"/>
      <w:sz w:val="20"/>
    </w:rPr>
  </w:style>
  <w:style w:type="character" w:styleId="ListLabel133">
    <w:name w:val="ListLabel 133"/>
    <w:qFormat/>
    <w:rPr>
      <w:b/>
    </w:rPr>
  </w:style>
  <w:style w:type="character" w:styleId="ListLabel134">
    <w:name w:val="ListLabel 134"/>
    <w:qFormat/>
    <w:rPr>
      <w:rFonts w:ascii="Arial" w:hAnsi="Arial" w:cs="Arial"/>
      <w:b w:val="false"/>
      <w:i w:val="false"/>
      <w:strike w:val="false"/>
      <w:dstrike w:val="false"/>
      <w:color w:val="00000A"/>
      <w:sz w:val="20"/>
      <w:szCs w:val="20"/>
      <w:u w:val="none"/>
    </w:rPr>
  </w:style>
  <w:style w:type="character" w:styleId="ListLabel135">
    <w:name w:val="ListLabel 135"/>
    <w:qFormat/>
    <w:rPr>
      <w:rFonts w:ascii="Arial" w:hAnsi="Arial" w:cs="Arial"/>
      <w:b w:val="false"/>
      <w:i w:val="false"/>
      <w:strike w:val="false"/>
      <w:dstrike w:val="false"/>
      <w:color w:val="00000A"/>
      <w:sz w:val="20"/>
      <w:szCs w:val="20"/>
    </w:rPr>
  </w:style>
  <w:style w:type="character" w:styleId="ListLabel136">
    <w:name w:val="ListLabel 136"/>
    <w:qFormat/>
    <w:rPr>
      <w:b/>
    </w:rPr>
  </w:style>
  <w:style w:type="character" w:styleId="ListLabel137">
    <w:name w:val="ListLabel 137"/>
    <w:qFormat/>
    <w:rPr>
      <w:rFonts w:ascii="Arial" w:hAnsi="Arial" w:cs="Arial"/>
      <w:b w:val="false"/>
      <w:i w:val="false"/>
      <w:strike w:val="false"/>
      <w:dstrike w:val="false"/>
      <w:color w:val="00000A"/>
      <w:sz w:val="20"/>
      <w:szCs w:val="20"/>
      <w:u w:val="none"/>
    </w:rPr>
  </w:style>
  <w:style w:type="character" w:styleId="ListLabel138">
    <w:name w:val="ListLabel 138"/>
    <w:qFormat/>
    <w:rPr>
      <w:rFonts w:cs="Arial"/>
      <w:b w:val="false"/>
      <w:i w:val="false"/>
      <w:strike w:val="false"/>
      <w:dstrike w:val="false"/>
      <w:color w:val="00000A"/>
      <w:sz w:val="20"/>
      <w:szCs w:val="20"/>
    </w:rPr>
  </w:style>
  <w:style w:type="character" w:styleId="ListLabel139">
    <w:name w:val="ListLabel 139"/>
    <w:qFormat/>
    <w:rPr>
      <w:rFonts w:ascii="Arial" w:hAnsi="Arial"/>
      <w:b/>
      <w:sz w:val="20"/>
      <w:szCs w:val="20"/>
    </w:rPr>
  </w:style>
  <w:style w:type="character" w:styleId="ListLabel140">
    <w:name w:val="ListLabel 140"/>
    <w:qFormat/>
    <w:rPr>
      <w:rFonts w:ascii="Arial" w:hAnsi="Arial" w:cs="Arial"/>
      <w:b/>
      <w:i w:val="false"/>
      <w:strike w:val="false"/>
      <w:dstrike w:val="false"/>
      <w:color w:val="00000A"/>
      <w:sz w:val="20"/>
      <w:szCs w:val="20"/>
      <w:u w:val="none"/>
    </w:rPr>
  </w:style>
  <w:style w:type="character" w:styleId="ListLabel141">
    <w:name w:val="ListLabel 141"/>
    <w:qFormat/>
    <w:rPr>
      <w:rFonts w:cs="Arial"/>
      <w:b/>
      <w:i w:val="false"/>
      <w:strike w:val="false"/>
      <w:dstrike w:val="false"/>
      <w:color w:val="00000A"/>
      <w:sz w:val="20"/>
      <w:szCs w:val="20"/>
    </w:rPr>
  </w:style>
  <w:style w:type="character" w:styleId="ListLabel142">
    <w:name w:val="ListLabel 142"/>
    <w:qFormat/>
    <w:rPr>
      <w:b/>
      <w:sz w:val="20"/>
      <w:szCs w:val="20"/>
    </w:rPr>
  </w:style>
  <w:style w:type="character" w:styleId="ListLabel143">
    <w:name w:val="ListLabel 143"/>
    <w:qFormat/>
    <w:rPr>
      <w:rFonts w:ascii="Arial" w:hAnsi="Arial" w:cs="Arial"/>
      <w:b/>
      <w:i w:val="false"/>
      <w:strike w:val="false"/>
      <w:dstrike w:val="false"/>
      <w:color w:val="00000A"/>
      <w:sz w:val="20"/>
      <w:szCs w:val="20"/>
      <w:u w:val="none"/>
    </w:rPr>
  </w:style>
  <w:style w:type="character" w:styleId="ListLabel144">
    <w:name w:val="ListLabel 144"/>
    <w:qFormat/>
    <w:rPr>
      <w:rFonts w:cs="Arial"/>
      <w:b/>
      <w:i w:val="false"/>
      <w:strike w:val="false"/>
      <w:dstrike w:val="false"/>
      <w:color w:val="00000A"/>
      <w:sz w:val="20"/>
      <w:szCs w:val="20"/>
    </w:rPr>
  </w:style>
  <w:style w:type="character" w:styleId="ListLabel145">
    <w:name w:val="ListLabel 145"/>
    <w:qFormat/>
    <w:rPr>
      <w:rFonts w:ascii="Arial" w:hAnsi="Arial"/>
      <w:b/>
    </w:rPr>
  </w:style>
  <w:style w:type="character" w:styleId="ListLabel146">
    <w:name w:val="ListLabel 146"/>
    <w:qFormat/>
    <w:rPr>
      <w:rFonts w:ascii="Arial" w:hAnsi="Arial" w:cs="Arial"/>
      <w:b w:val="false"/>
      <w:i w:val="false"/>
      <w:strike w:val="false"/>
      <w:dstrike w:val="false"/>
      <w:color w:val="00000A"/>
      <w:sz w:val="20"/>
      <w:szCs w:val="20"/>
      <w:u w:val="none"/>
    </w:rPr>
  </w:style>
  <w:style w:type="character" w:styleId="ListLabel147">
    <w:name w:val="ListLabel 147"/>
    <w:qFormat/>
    <w:rPr>
      <w:rFonts w:ascii="Arial" w:hAnsi="Arial" w:cs="Arial"/>
      <w:b w:val="false"/>
      <w:i w:val="false"/>
      <w:strike w:val="false"/>
      <w:dstrike w:val="false"/>
      <w:color w:val="00000A"/>
      <w:sz w:val="20"/>
      <w:szCs w:val="20"/>
    </w:rPr>
  </w:style>
  <w:style w:type="character" w:styleId="ListLabel148">
    <w:name w:val="ListLabel 148"/>
    <w:qFormat/>
    <w:rPr>
      <w:b w:val="false"/>
    </w:rPr>
  </w:style>
  <w:style w:type="character" w:styleId="ListLabel149">
    <w:name w:val="ListLabel 149"/>
    <w:qFormat/>
    <w:rPr>
      <w:rFonts w:ascii="Arial" w:hAnsi="Arial"/>
      <w:strike w:val="false"/>
      <w:dstrike w:val="false"/>
      <w:sz w:val="20"/>
    </w:rPr>
  </w:style>
  <w:style w:type="character" w:styleId="ListLabel150">
    <w:name w:val="ListLabel 150"/>
    <w:qFormat/>
    <w:rPr>
      <w:b/>
    </w:rPr>
  </w:style>
  <w:style w:type="character" w:styleId="ListLabel151">
    <w:name w:val="ListLabel 151"/>
    <w:qFormat/>
    <w:rPr>
      <w:rFonts w:ascii="Arial" w:hAnsi="Arial" w:cs="Arial"/>
      <w:b w:val="false"/>
      <w:i w:val="false"/>
      <w:strike w:val="false"/>
      <w:dstrike w:val="false"/>
      <w:color w:val="00000A"/>
      <w:sz w:val="20"/>
      <w:szCs w:val="20"/>
      <w:u w:val="none"/>
    </w:rPr>
  </w:style>
  <w:style w:type="character" w:styleId="ListLabel152">
    <w:name w:val="ListLabel 152"/>
    <w:qFormat/>
    <w:rPr>
      <w:rFonts w:ascii="Arial" w:hAnsi="Arial" w:cs="Arial"/>
      <w:b w:val="false"/>
      <w:i w:val="false"/>
      <w:strike w:val="false"/>
      <w:dstrike w:val="false"/>
      <w:color w:val="00000A"/>
      <w:sz w:val="20"/>
      <w:szCs w:val="20"/>
    </w:rPr>
  </w:style>
  <w:style w:type="character" w:styleId="ListLabel153">
    <w:name w:val="ListLabel 153"/>
    <w:qFormat/>
    <w:rPr>
      <w:b/>
    </w:rPr>
  </w:style>
  <w:style w:type="character" w:styleId="ListLabel154">
    <w:name w:val="ListLabel 154"/>
    <w:qFormat/>
    <w:rPr>
      <w:rFonts w:ascii="Arial" w:hAnsi="Arial" w:cs="Arial"/>
      <w:b w:val="false"/>
      <w:i w:val="false"/>
      <w:strike w:val="false"/>
      <w:dstrike w:val="false"/>
      <w:color w:val="00000A"/>
      <w:sz w:val="20"/>
      <w:szCs w:val="20"/>
      <w:u w:val="none"/>
    </w:rPr>
  </w:style>
  <w:style w:type="character" w:styleId="ListLabel155">
    <w:name w:val="ListLabel 155"/>
    <w:qFormat/>
    <w:rPr>
      <w:rFonts w:cs="Arial"/>
      <w:b w:val="false"/>
      <w:i w:val="false"/>
      <w:strike w:val="false"/>
      <w:dstrike w:val="false"/>
      <w:color w:val="00000A"/>
      <w:sz w:val="20"/>
      <w:szCs w:val="20"/>
    </w:rPr>
  </w:style>
  <w:style w:type="character" w:styleId="ListLabel156">
    <w:name w:val="ListLabel 156"/>
    <w:qFormat/>
    <w:rPr>
      <w:rFonts w:ascii="Arial" w:hAnsi="Arial"/>
      <w:b/>
      <w:sz w:val="20"/>
      <w:szCs w:val="20"/>
    </w:rPr>
  </w:style>
  <w:style w:type="character" w:styleId="ListLabel157">
    <w:name w:val="ListLabel 157"/>
    <w:qFormat/>
    <w:rPr>
      <w:rFonts w:ascii="Arial" w:hAnsi="Arial" w:cs="Arial"/>
      <w:b/>
      <w:i w:val="false"/>
      <w:strike w:val="false"/>
      <w:dstrike w:val="false"/>
      <w:color w:val="00000A"/>
      <w:sz w:val="20"/>
      <w:szCs w:val="20"/>
      <w:u w:val="none"/>
    </w:rPr>
  </w:style>
  <w:style w:type="character" w:styleId="ListLabel158">
    <w:name w:val="ListLabel 158"/>
    <w:qFormat/>
    <w:rPr>
      <w:rFonts w:cs="Arial"/>
      <w:b/>
      <w:i w:val="false"/>
      <w:strike w:val="false"/>
      <w:dstrike w:val="false"/>
      <w:color w:val="00000A"/>
      <w:sz w:val="20"/>
      <w:szCs w:val="20"/>
    </w:rPr>
  </w:style>
  <w:style w:type="character" w:styleId="ListLabel159">
    <w:name w:val="ListLabel 159"/>
    <w:qFormat/>
    <w:rPr>
      <w:rFonts w:ascii="Arial" w:hAnsi="Arial"/>
      <w:b/>
    </w:rPr>
  </w:style>
  <w:style w:type="character" w:styleId="ListLabel160">
    <w:name w:val="ListLabel 160"/>
    <w:qFormat/>
    <w:rPr>
      <w:rFonts w:ascii="Arial" w:hAnsi="Arial" w:cs="Arial"/>
      <w:b w:val="false"/>
      <w:i w:val="false"/>
      <w:strike w:val="false"/>
      <w:dstrike w:val="false"/>
      <w:color w:val="00000A"/>
      <w:sz w:val="20"/>
      <w:szCs w:val="20"/>
      <w:u w:val="none"/>
    </w:rPr>
  </w:style>
  <w:style w:type="character" w:styleId="ListLabel161">
    <w:name w:val="ListLabel 161"/>
    <w:qFormat/>
    <w:rPr>
      <w:rFonts w:ascii="Arial" w:hAnsi="Arial" w:cs="Arial"/>
      <w:b/>
      <w:i w:val="false"/>
      <w:strike w:val="false"/>
      <w:dstrike w:val="false"/>
      <w:color w:val="00000A"/>
      <w:sz w:val="20"/>
      <w:szCs w:val="20"/>
    </w:rPr>
  </w:style>
  <w:style w:type="character" w:styleId="ListLabel162">
    <w:name w:val="ListLabel 162"/>
    <w:qFormat/>
    <w:rPr>
      <w:b/>
    </w:rPr>
  </w:style>
  <w:style w:type="character" w:styleId="ListLabel163">
    <w:name w:val="ListLabel 163"/>
    <w:qFormat/>
    <w:rPr>
      <w:rFonts w:cs="Arial"/>
      <w:b w:val="false"/>
      <w:i w:val="false"/>
      <w:strike w:val="false"/>
      <w:dstrike w:val="false"/>
      <w:color w:val="00000A"/>
      <w:sz w:val="20"/>
      <w:szCs w:val="20"/>
      <w:u w:val="none"/>
    </w:rPr>
  </w:style>
  <w:style w:type="character" w:styleId="ListLabel164">
    <w:name w:val="ListLabel 164"/>
    <w:qFormat/>
    <w:rPr>
      <w:rFonts w:cs="Arial"/>
      <w:b/>
      <w:i w:val="false"/>
      <w:strike w:val="false"/>
      <w:dstrike w:val="false"/>
      <w:color w:val="00000A"/>
      <w:sz w:val="20"/>
      <w:szCs w:val="20"/>
    </w:rPr>
  </w:style>
  <w:style w:type="character" w:styleId="ListLabel165">
    <w:name w:val="ListLabel 165"/>
    <w:qFormat/>
    <w:rPr>
      <w:b/>
    </w:rPr>
  </w:style>
  <w:style w:type="character" w:styleId="ListLabel166">
    <w:name w:val="ListLabel 166"/>
    <w:qFormat/>
    <w:rPr>
      <w:rFonts w:cs="Arial"/>
      <w:b w:val="false"/>
      <w:i w:val="false"/>
      <w:strike w:val="false"/>
      <w:dstrike w:val="false"/>
      <w:color w:val="00000A"/>
      <w:sz w:val="20"/>
      <w:szCs w:val="20"/>
      <w:u w:val="none"/>
    </w:rPr>
  </w:style>
  <w:style w:type="character" w:styleId="ListLabel167">
    <w:name w:val="ListLabel 167"/>
    <w:qFormat/>
    <w:rPr>
      <w:rFonts w:cs="Arial"/>
      <w:b w:val="false"/>
      <w:i w:val="false"/>
      <w:strike w:val="false"/>
      <w:dstrike w:val="false"/>
      <w:color w:val="00000A"/>
      <w:sz w:val="20"/>
      <w:szCs w:val="20"/>
    </w:rPr>
  </w:style>
  <w:style w:type="character" w:styleId="ListLabel168">
    <w:name w:val="ListLabel 168"/>
    <w:qFormat/>
    <w:rPr>
      <w:b/>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Header"/>
    <w:basedOn w:val="Normal"/>
    <w:link w:val="CabealhoChar"/>
    <w:uiPriority w:val="99"/>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Western" w:customStyle="1">
    <w:name w:val="western"/>
    <w:basedOn w:val="Normal"/>
    <w:qFormat/>
    <w:rsid w:val="000d182c"/>
    <w:pPr>
      <w:spacing w:before="278" w:after="278"/>
    </w:pPr>
    <w:rPr>
      <w:rFonts w:ascii="Times New Roman" w:hAnsi="Times New Roman" w:eastAsia="Times New Roman" w:cs="Times New Roman"/>
    </w:rPr>
  </w:style>
  <w:style w:type="paragraph" w:styleId="Contedodetabela">
    <w:name w:val="Conteúdo de tabela"/>
    <w:basedOn w:val="Normal"/>
    <w:qFormat/>
    <w:pPr>
      <w:suppressLineNumbers/>
      <w:suppressAutoHyphens w:val="true"/>
    </w:pPr>
    <w:rPr/>
  </w:style>
  <w:style w:type="paragraph" w:styleId="Contedodatabela">
    <w:name w:val="Conteúdo da tabela"/>
    <w:basedOn w:val="Normal"/>
    <w:qFormat/>
    <w:pPr>
      <w:suppressLineNumbers/>
      <w:suppressAutoHyphens w:val="true"/>
    </w:pPr>
    <w:rPr/>
  </w:style>
  <w:style w:type="paragraph" w:styleId="PargrafodaLista">
    <w:name w:val="Parágrafo da Lista"/>
    <w:basedOn w:val="Normal"/>
    <w:qFormat/>
    <w:pPr>
      <w:suppressAutoHyphens w:val="true"/>
      <w:ind w:left="720" w:right="0" w:hanging="0"/>
    </w:pPr>
    <w:rPr/>
  </w:style>
  <w:style w:type="paragraph" w:styleId="Nivel011">
    <w:name w:val="Nivel_01"/>
    <w:basedOn w:val="Ttulo1"/>
    <w:qFormat/>
    <w:pPr>
      <w:tabs>
        <w:tab w:val="left" w:pos="567" w:leader="none"/>
      </w:tabs>
      <w:spacing w:before="240" w:after="0"/>
      <w:jc w:val="both"/>
    </w:pPr>
    <w:rPr>
      <w:rFonts w:ascii="Ecofont_Spranq_eco_Sans" w:hAnsi="Ecofont_Spranq_eco_Sans" w:cs="Times New Roman"/>
      <w:color w:val="00000A"/>
      <w:sz w:val="20"/>
      <w:szCs w:val="20"/>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http://www.comprasgovernamentais.gov.br/" TargetMode="External"/><Relationship Id="rId7" Type="http://schemas.openxmlformats.org/officeDocument/2006/relationships/hyperlink" Target="https://www.ifsertao-pe.edu.br/index.php/licitacoes/pregao-eletronico/pregao-re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hyperlink" Target="mailto:licitacoes@ifsertao-pe.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26C8-13C9-446B-B0AD-FCFED6FC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44756A7-E20E-4453-8E2D-922A1A2A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238</TotalTime>
  <Application>LibreOffice/5.2.6.2$Windows_x86 LibreOffice_project/a3100ed2409ebf1c212f5048fbe377c281438fdc</Application>
  <Pages>53</Pages>
  <Words>15521</Words>
  <Characters>86917</Characters>
  <CharactersWithSpaces>101244</CharactersWithSpaces>
  <Paragraphs>1262</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2020-06-09T21:45:00Z</dcterms:created>
  <dc:creator>Manoel Paz</dc:creator>
  <dc:description/>
  <dc:language>pt-BR</dc:language>
  <cp:lastModifiedBy/>
  <cp:lastPrinted>2020-06-17T16:07:08Z</cp:lastPrinted>
  <dcterms:modified xsi:type="dcterms:W3CDTF">2020-06-17T16:30:41Z</dcterms:modified>
  <cp:revision>13</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